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C42FF" w14:textId="686923D0" w:rsidR="002B08BB" w:rsidRPr="009559EA" w:rsidRDefault="00496C1B" w:rsidP="00BE7982">
      <w:pPr>
        <w:widowControl/>
        <w:adjustRightInd w:val="0"/>
        <w:spacing w:after="120"/>
        <w:jc w:val="center"/>
        <w:rPr>
          <w:rFonts w:ascii="Calibri" w:eastAsia="Times New Roman" w:hAnsi="Calibri"/>
          <w:b/>
          <w:bCs/>
          <w:sz w:val="36"/>
          <w:szCs w:val="36"/>
          <w:lang w:val="en-GB"/>
        </w:rPr>
      </w:pPr>
      <w:r w:rsidRPr="009559EA">
        <w:rPr>
          <w:rFonts w:ascii="Calibri" w:eastAsia="Times New Roman" w:hAnsi="Calibri"/>
          <w:b/>
          <w:bCs/>
          <w:sz w:val="36"/>
          <w:szCs w:val="36"/>
          <w:lang w:val="en-GB"/>
        </w:rPr>
        <w:t xml:space="preserve">TCS Ranked #1 for </w:t>
      </w:r>
      <w:r w:rsidR="00877EA4" w:rsidRPr="009559EA">
        <w:rPr>
          <w:rFonts w:ascii="Calibri" w:eastAsia="Times New Roman" w:hAnsi="Calibri"/>
          <w:b/>
          <w:bCs/>
          <w:sz w:val="36"/>
          <w:szCs w:val="36"/>
          <w:lang w:val="en-GB"/>
        </w:rPr>
        <w:t xml:space="preserve">Overall </w:t>
      </w:r>
      <w:r w:rsidRPr="009559EA">
        <w:rPr>
          <w:rFonts w:ascii="Calibri" w:eastAsia="Times New Roman" w:hAnsi="Calibri"/>
          <w:b/>
          <w:bCs/>
          <w:sz w:val="36"/>
          <w:szCs w:val="36"/>
          <w:lang w:val="en-GB"/>
        </w:rPr>
        <w:t>Innovation in Telecom, Media &amp; Technology Services by HFS Research</w:t>
      </w:r>
    </w:p>
    <w:p w14:paraId="0C794DD0" w14:textId="1DE606D7" w:rsidR="00C77C27" w:rsidRPr="009559EA" w:rsidRDefault="00C77C27" w:rsidP="007D41A0">
      <w:pPr>
        <w:widowControl/>
        <w:adjustRightInd w:val="0"/>
        <w:spacing w:after="120"/>
        <w:jc w:val="center"/>
        <w:rPr>
          <w:rFonts w:ascii="Calibri" w:eastAsia="Times New Roman" w:hAnsi="Calibri"/>
          <w:i/>
          <w:iCs/>
          <w:lang w:val="en-GB"/>
        </w:rPr>
      </w:pPr>
      <w:r w:rsidRPr="009559EA">
        <w:rPr>
          <w:rFonts w:ascii="Calibri" w:eastAsia="Times New Roman" w:hAnsi="Calibri"/>
          <w:i/>
          <w:iCs/>
          <w:lang w:val="en-GB"/>
        </w:rPr>
        <w:t>Tata Consultancy Services Ranked #</w:t>
      </w:r>
      <w:r w:rsidR="00B6773E" w:rsidRPr="009559EA">
        <w:rPr>
          <w:rFonts w:ascii="Calibri" w:eastAsia="Times New Roman" w:hAnsi="Calibri"/>
          <w:i/>
          <w:iCs/>
          <w:lang w:val="en-GB"/>
        </w:rPr>
        <w:t>1</w:t>
      </w:r>
      <w:r w:rsidR="00243488" w:rsidRPr="009559EA">
        <w:rPr>
          <w:rFonts w:ascii="Calibri" w:eastAsia="Times New Roman" w:hAnsi="Calibri"/>
          <w:i/>
          <w:iCs/>
          <w:lang w:val="en-GB"/>
        </w:rPr>
        <w:t xml:space="preserve"> in Vision and Value Proposition, and P</w:t>
      </w:r>
      <w:r w:rsidR="00F25DDB" w:rsidRPr="009559EA">
        <w:rPr>
          <w:rFonts w:ascii="Calibri" w:eastAsia="Times New Roman" w:hAnsi="Calibri"/>
          <w:i/>
          <w:iCs/>
          <w:lang w:val="en-GB"/>
        </w:rPr>
        <w:t>latforms and Tools</w:t>
      </w:r>
      <w:r w:rsidR="004B28BE" w:rsidRPr="009559EA">
        <w:rPr>
          <w:rFonts w:ascii="Calibri" w:eastAsia="Times New Roman" w:hAnsi="Calibri"/>
          <w:i/>
          <w:iCs/>
          <w:lang w:val="en-GB"/>
        </w:rPr>
        <w:t>, Resulting in an Overall</w:t>
      </w:r>
      <w:r w:rsidRPr="009559EA">
        <w:rPr>
          <w:rFonts w:ascii="Calibri" w:eastAsia="Times New Roman" w:hAnsi="Calibri"/>
          <w:i/>
          <w:iCs/>
          <w:lang w:val="en-GB"/>
        </w:rPr>
        <w:t xml:space="preserve"> </w:t>
      </w:r>
      <w:r w:rsidR="00AA09C9" w:rsidRPr="009559EA">
        <w:rPr>
          <w:rFonts w:ascii="Calibri" w:eastAsia="Times New Roman" w:hAnsi="Calibri"/>
          <w:i/>
          <w:iCs/>
          <w:lang w:val="en-GB"/>
        </w:rPr>
        <w:t xml:space="preserve">#2 </w:t>
      </w:r>
      <w:r w:rsidR="004B28BE" w:rsidRPr="009559EA">
        <w:rPr>
          <w:rFonts w:ascii="Calibri" w:eastAsia="Times New Roman" w:hAnsi="Calibri"/>
          <w:i/>
          <w:iCs/>
          <w:lang w:val="en-GB"/>
        </w:rPr>
        <w:t>Position</w:t>
      </w:r>
    </w:p>
    <w:p w14:paraId="72292633" w14:textId="3C298131" w:rsidR="00326BF4" w:rsidRPr="009559EA" w:rsidRDefault="009559EA" w:rsidP="00DC31CB">
      <w:pPr>
        <w:widowControl/>
        <w:pBdr>
          <w:bottom w:val="single" w:sz="12" w:space="1" w:color="auto"/>
        </w:pBdr>
        <w:adjustRightInd w:val="0"/>
        <w:spacing w:after="120"/>
        <w:jc w:val="both"/>
        <w:rPr>
          <w:rFonts w:ascii="Calibri" w:eastAsia="Times New Roman" w:hAnsi="Calibri"/>
          <w:lang w:val="en-GB"/>
        </w:rPr>
      </w:pPr>
      <w:r w:rsidRPr="009559EA">
        <w:rPr>
          <w:rFonts w:ascii="Calibri" w:eastAsia="Times New Roman" w:hAnsi="Calibri"/>
          <w:b/>
          <w:bCs/>
          <w:lang w:val="en-GB"/>
        </w:rPr>
        <w:t>LONDON</w:t>
      </w:r>
      <w:r w:rsidR="00401C0B" w:rsidRPr="009559EA">
        <w:rPr>
          <w:rFonts w:ascii="Calibri" w:eastAsia="Times New Roman" w:hAnsi="Calibri"/>
          <w:b/>
          <w:bCs/>
          <w:lang w:val="en-GB"/>
        </w:rPr>
        <w:t xml:space="preserve"> </w:t>
      </w:r>
      <w:r w:rsidR="00863510" w:rsidRPr="009559EA">
        <w:rPr>
          <w:rFonts w:ascii="Calibri" w:eastAsia="Times New Roman" w:hAnsi="Calibri"/>
          <w:b/>
          <w:bCs/>
          <w:lang w:val="en-GB"/>
        </w:rPr>
        <w:t xml:space="preserve">| </w:t>
      </w:r>
      <w:r w:rsidR="00401C0B" w:rsidRPr="009559EA">
        <w:rPr>
          <w:rFonts w:ascii="Calibri" w:eastAsia="Times New Roman" w:hAnsi="Calibri"/>
          <w:b/>
          <w:bCs/>
          <w:lang w:val="en-GB"/>
        </w:rPr>
        <w:t>MUMBAI</w:t>
      </w:r>
      <w:r w:rsidR="00863510" w:rsidRPr="009559EA">
        <w:rPr>
          <w:rFonts w:ascii="Calibri" w:eastAsia="Times New Roman" w:hAnsi="Calibri"/>
          <w:b/>
          <w:bCs/>
          <w:lang w:val="en-GB"/>
        </w:rPr>
        <w:t xml:space="preserve">, </w:t>
      </w:r>
      <w:r w:rsidR="00270368" w:rsidRPr="009559EA">
        <w:rPr>
          <w:rFonts w:ascii="Calibri" w:eastAsia="Times New Roman" w:hAnsi="Calibri"/>
          <w:b/>
          <w:bCs/>
          <w:lang w:val="en-GB"/>
        </w:rPr>
        <w:t xml:space="preserve">June </w:t>
      </w:r>
      <w:r w:rsidR="00694BD5">
        <w:rPr>
          <w:rFonts w:ascii="Calibri" w:eastAsia="Times New Roman" w:hAnsi="Calibri"/>
          <w:b/>
          <w:bCs/>
          <w:lang w:val="en-GB"/>
        </w:rPr>
        <w:t>29</w:t>
      </w:r>
      <w:r w:rsidR="00863510" w:rsidRPr="009559EA">
        <w:rPr>
          <w:rFonts w:ascii="Calibri" w:eastAsia="Times New Roman" w:hAnsi="Calibri"/>
          <w:b/>
          <w:bCs/>
          <w:lang w:val="en-GB"/>
        </w:rPr>
        <w:t xml:space="preserve">, </w:t>
      </w:r>
      <w:r w:rsidR="00401C0B" w:rsidRPr="009559EA">
        <w:rPr>
          <w:rFonts w:ascii="Calibri" w:eastAsia="Times New Roman" w:hAnsi="Calibri"/>
          <w:b/>
          <w:bCs/>
          <w:lang w:val="en-GB"/>
        </w:rPr>
        <w:t>2021</w:t>
      </w:r>
      <w:r w:rsidR="00863510" w:rsidRPr="009559EA">
        <w:rPr>
          <w:rFonts w:ascii="Calibri" w:eastAsia="Times New Roman" w:hAnsi="Calibri"/>
          <w:b/>
          <w:bCs/>
          <w:lang w:val="en-GB"/>
        </w:rPr>
        <w:t>:</w:t>
      </w:r>
      <w:r w:rsidR="00863510" w:rsidRPr="009559EA">
        <w:rPr>
          <w:rFonts w:ascii="Calibri" w:eastAsia="Times New Roman" w:hAnsi="Calibri"/>
          <w:lang w:val="en-GB"/>
        </w:rPr>
        <w:t> Tata Consultancy Services (TCS) (BSE: 532540, NSE: TCS), a leading global IT services, consulting and business solutions organization, </w:t>
      </w:r>
      <w:r w:rsidR="00326BF4" w:rsidRPr="009559EA">
        <w:rPr>
          <w:rFonts w:ascii="Calibri" w:eastAsia="Times New Roman" w:hAnsi="Calibri"/>
          <w:lang w:val="en-GB"/>
        </w:rPr>
        <w:t xml:space="preserve">has been ranked </w:t>
      </w:r>
      <w:r w:rsidR="00854B1A" w:rsidRPr="009559EA">
        <w:rPr>
          <w:rFonts w:ascii="Calibri" w:eastAsia="Times New Roman" w:hAnsi="Calibri"/>
          <w:lang w:val="en-GB"/>
        </w:rPr>
        <w:t xml:space="preserve">number 1 in Innovation and </w:t>
      </w:r>
      <w:r w:rsidR="00FA7E99" w:rsidRPr="009559EA">
        <w:rPr>
          <w:rFonts w:ascii="Calibri" w:eastAsia="Times New Roman" w:hAnsi="Calibri"/>
          <w:lang w:val="en-GB"/>
        </w:rPr>
        <w:t xml:space="preserve">overall </w:t>
      </w:r>
      <w:r w:rsidR="00854B1A" w:rsidRPr="009559EA">
        <w:rPr>
          <w:rFonts w:ascii="Calibri" w:eastAsia="Times New Roman" w:hAnsi="Calibri"/>
          <w:lang w:val="en-GB"/>
        </w:rPr>
        <w:t>n</w:t>
      </w:r>
      <w:r w:rsidR="002E4243" w:rsidRPr="009559EA">
        <w:rPr>
          <w:rFonts w:ascii="Calibri" w:eastAsia="Times New Roman" w:hAnsi="Calibri"/>
          <w:lang w:val="en-GB"/>
        </w:rPr>
        <w:t>umber</w:t>
      </w:r>
      <w:r w:rsidR="00721D4F" w:rsidRPr="009559EA">
        <w:rPr>
          <w:rFonts w:ascii="Calibri" w:eastAsia="Times New Roman" w:hAnsi="Calibri"/>
          <w:lang w:val="en-GB"/>
        </w:rPr>
        <w:t xml:space="preserve"> 2 </w:t>
      </w:r>
      <w:r w:rsidR="00002FDC" w:rsidRPr="009559EA">
        <w:rPr>
          <w:rFonts w:ascii="Calibri" w:eastAsia="Times New Roman" w:hAnsi="Calibri"/>
          <w:lang w:val="en-GB"/>
        </w:rPr>
        <w:t xml:space="preserve">in </w:t>
      </w:r>
      <w:r w:rsidR="00B643CD" w:rsidRPr="009559EA">
        <w:rPr>
          <w:rFonts w:ascii="Calibri" w:eastAsia="Times New Roman" w:hAnsi="Calibri"/>
          <w:lang w:val="en-GB"/>
        </w:rPr>
        <w:t xml:space="preserve">an assessment of 13 leading service providers in </w:t>
      </w:r>
      <w:r w:rsidR="00002FDC" w:rsidRPr="009559EA">
        <w:rPr>
          <w:rFonts w:ascii="Calibri" w:eastAsia="Times New Roman" w:hAnsi="Calibri"/>
          <w:lang w:val="en-GB"/>
        </w:rPr>
        <w:t xml:space="preserve">the </w:t>
      </w:r>
      <w:r w:rsidR="00326BF4" w:rsidRPr="009559EA">
        <w:rPr>
          <w:rFonts w:ascii="Calibri" w:eastAsia="Times New Roman" w:hAnsi="Calibri"/>
          <w:lang w:val="en-GB"/>
        </w:rPr>
        <w:t xml:space="preserve">HFS Top 10 </w:t>
      </w:r>
      <w:r w:rsidR="00002FDC" w:rsidRPr="009559EA">
        <w:rPr>
          <w:rFonts w:ascii="Calibri" w:eastAsia="Times New Roman" w:hAnsi="Calibri"/>
          <w:lang w:val="en-GB"/>
        </w:rPr>
        <w:t xml:space="preserve">for </w:t>
      </w:r>
      <w:r w:rsidR="00326BF4" w:rsidRPr="009559EA">
        <w:rPr>
          <w:rFonts w:ascii="Calibri" w:eastAsia="Times New Roman" w:hAnsi="Calibri"/>
          <w:lang w:val="en-GB"/>
        </w:rPr>
        <w:t xml:space="preserve">Telecom, Media </w:t>
      </w:r>
      <w:r w:rsidR="002E4243" w:rsidRPr="009559EA">
        <w:rPr>
          <w:rFonts w:ascii="Calibri" w:eastAsia="Times New Roman" w:hAnsi="Calibri"/>
          <w:lang w:val="en-GB"/>
        </w:rPr>
        <w:t xml:space="preserve">and </w:t>
      </w:r>
      <w:r w:rsidR="00326BF4" w:rsidRPr="009559EA">
        <w:rPr>
          <w:rFonts w:ascii="Calibri" w:eastAsia="Times New Roman" w:hAnsi="Calibri"/>
          <w:lang w:val="en-GB"/>
        </w:rPr>
        <w:t>Technology (TMT) Services</w:t>
      </w:r>
      <w:r w:rsidR="00326BF4" w:rsidRPr="009559EA">
        <w:rPr>
          <w:rStyle w:val="FootnoteReference"/>
          <w:rFonts w:ascii="Calibri" w:eastAsia="Times New Roman" w:hAnsi="Calibri"/>
          <w:lang w:val="en-GB"/>
        </w:rPr>
        <w:footnoteReference w:id="1"/>
      </w:r>
      <w:r w:rsidR="00326BF4" w:rsidRPr="009559EA">
        <w:rPr>
          <w:rFonts w:ascii="Calibri" w:eastAsia="Times New Roman" w:hAnsi="Calibri"/>
          <w:lang w:val="en-GB"/>
        </w:rPr>
        <w:t xml:space="preserve">. </w:t>
      </w:r>
    </w:p>
    <w:p w14:paraId="6731FAFD" w14:textId="25B20C13" w:rsidR="00326BF4" w:rsidRPr="009559EA" w:rsidRDefault="00326BF4" w:rsidP="00326BF4">
      <w:pPr>
        <w:widowControl/>
        <w:pBdr>
          <w:bottom w:val="single" w:sz="12" w:space="1" w:color="auto"/>
        </w:pBdr>
        <w:adjustRightInd w:val="0"/>
        <w:spacing w:after="120"/>
        <w:jc w:val="both"/>
        <w:rPr>
          <w:rFonts w:ascii="Calibri" w:eastAsia="Times New Roman" w:hAnsi="Calibri"/>
          <w:lang w:val="en-GB"/>
        </w:rPr>
      </w:pPr>
      <w:r w:rsidRPr="009559EA">
        <w:rPr>
          <w:rFonts w:ascii="Calibri" w:eastAsia="Times New Roman" w:hAnsi="Calibri"/>
          <w:lang w:val="en-GB"/>
        </w:rPr>
        <w:t>“</w:t>
      </w:r>
      <w:r w:rsidRPr="009559EA">
        <w:rPr>
          <w:rFonts w:ascii="Calibri" w:eastAsia="Times New Roman" w:hAnsi="Calibri"/>
          <w:i/>
          <w:iCs/>
          <w:lang w:val="en-GB"/>
        </w:rPr>
        <w:t xml:space="preserve">TCS </w:t>
      </w:r>
      <w:r w:rsidR="006231A3" w:rsidRPr="009559EA">
        <w:rPr>
          <w:rFonts w:ascii="Calibri" w:eastAsia="Times New Roman" w:hAnsi="Calibri"/>
          <w:i/>
          <w:iCs/>
          <w:lang w:val="en-GB"/>
        </w:rPr>
        <w:t xml:space="preserve">is helping customers in the </w:t>
      </w:r>
      <w:r w:rsidR="00DC3A8A" w:rsidRPr="009559EA">
        <w:rPr>
          <w:rFonts w:ascii="Calibri" w:eastAsia="Times New Roman" w:hAnsi="Calibri"/>
          <w:i/>
          <w:iCs/>
          <w:lang w:val="en-GB"/>
        </w:rPr>
        <w:t>TMT sector realize their growth and transformation aspirations</w:t>
      </w:r>
      <w:r w:rsidR="0038622F" w:rsidRPr="009559EA">
        <w:rPr>
          <w:rFonts w:ascii="Calibri" w:eastAsia="Times New Roman" w:hAnsi="Calibri"/>
          <w:i/>
          <w:iCs/>
          <w:lang w:val="en-GB"/>
        </w:rPr>
        <w:t xml:space="preserve">, </w:t>
      </w:r>
      <w:r w:rsidRPr="009559EA">
        <w:rPr>
          <w:rFonts w:ascii="Calibri" w:eastAsia="Times New Roman" w:hAnsi="Calibri"/>
          <w:i/>
          <w:iCs/>
          <w:lang w:val="en-GB"/>
        </w:rPr>
        <w:t xml:space="preserve">leveraging its </w:t>
      </w:r>
      <w:r w:rsidR="00DE5771" w:rsidRPr="009559EA">
        <w:rPr>
          <w:rFonts w:ascii="Calibri" w:eastAsia="Times New Roman" w:hAnsi="Calibri"/>
          <w:i/>
          <w:iCs/>
          <w:lang w:val="en-GB"/>
        </w:rPr>
        <w:t>investments in research and innovation,</w:t>
      </w:r>
      <w:r w:rsidR="00F86FB1" w:rsidRPr="009559EA">
        <w:rPr>
          <w:rFonts w:ascii="Calibri" w:eastAsia="Times New Roman" w:hAnsi="Calibri"/>
          <w:i/>
          <w:iCs/>
          <w:lang w:val="en-GB"/>
        </w:rPr>
        <w:t xml:space="preserve"> intellectual property, </w:t>
      </w:r>
      <w:r w:rsidRPr="009559EA">
        <w:rPr>
          <w:rFonts w:ascii="Calibri" w:eastAsia="Times New Roman" w:hAnsi="Calibri"/>
          <w:i/>
          <w:iCs/>
          <w:lang w:val="en-GB"/>
        </w:rPr>
        <w:t>contextual knowledge</w:t>
      </w:r>
      <w:r w:rsidR="0038622F" w:rsidRPr="009559EA">
        <w:rPr>
          <w:rFonts w:ascii="Calibri" w:eastAsia="Times New Roman" w:hAnsi="Calibri"/>
          <w:i/>
          <w:iCs/>
          <w:lang w:val="en-GB"/>
        </w:rPr>
        <w:t>,</w:t>
      </w:r>
      <w:r w:rsidRPr="009559EA">
        <w:rPr>
          <w:rFonts w:ascii="Calibri" w:eastAsia="Times New Roman" w:hAnsi="Calibri"/>
          <w:i/>
          <w:iCs/>
          <w:lang w:val="en-GB"/>
        </w:rPr>
        <w:t xml:space="preserve"> </w:t>
      </w:r>
      <w:r w:rsidR="0038622F" w:rsidRPr="009559EA">
        <w:rPr>
          <w:rFonts w:ascii="Calibri" w:eastAsia="Times New Roman" w:hAnsi="Calibri"/>
          <w:i/>
          <w:iCs/>
          <w:lang w:val="en-GB"/>
        </w:rPr>
        <w:t xml:space="preserve">and expertise in next-gen technologies </w:t>
      </w:r>
      <w:r w:rsidR="00F67788" w:rsidRPr="009559EA">
        <w:rPr>
          <w:rFonts w:ascii="Calibri" w:eastAsia="Times New Roman" w:hAnsi="Calibri"/>
          <w:i/>
          <w:iCs/>
          <w:lang w:val="en-GB"/>
        </w:rPr>
        <w:t xml:space="preserve">to develop </w:t>
      </w:r>
      <w:r w:rsidR="00F86FB1" w:rsidRPr="009559EA">
        <w:rPr>
          <w:rFonts w:ascii="Calibri" w:eastAsia="Times New Roman" w:hAnsi="Calibri"/>
          <w:i/>
          <w:iCs/>
          <w:lang w:val="en-GB"/>
        </w:rPr>
        <w:t xml:space="preserve">differentiated </w:t>
      </w:r>
      <w:r w:rsidR="00F67788" w:rsidRPr="009559EA">
        <w:rPr>
          <w:rFonts w:ascii="Calibri" w:eastAsia="Times New Roman" w:hAnsi="Calibri"/>
          <w:i/>
          <w:iCs/>
          <w:lang w:val="en-GB"/>
        </w:rPr>
        <w:t>solutions</w:t>
      </w:r>
      <w:r w:rsidRPr="009559EA">
        <w:rPr>
          <w:rFonts w:ascii="Calibri" w:eastAsia="Times New Roman" w:hAnsi="Calibri"/>
          <w:i/>
          <w:iCs/>
          <w:lang w:val="en-GB"/>
        </w:rPr>
        <w:t xml:space="preserve">. </w:t>
      </w:r>
      <w:r w:rsidR="00F37888" w:rsidRPr="009559EA">
        <w:rPr>
          <w:rFonts w:ascii="Calibri" w:eastAsia="Times New Roman" w:hAnsi="Calibri"/>
          <w:i/>
          <w:iCs/>
          <w:lang w:val="en-GB"/>
        </w:rPr>
        <w:t xml:space="preserve">The combinatorial power of </w:t>
      </w:r>
      <w:r w:rsidRPr="009559EA">
        <w:rPr>
          <w:rFonts w:ascii="Calibri" w:eastAsia="Times New Roman" w:hAnsi="Calibri"/>
          <w:i/>
          <w:iCs/>
          <w:lang w:val="en-GB"/>
        </w:rPr>
        <w:t xml:space="preserve">TCS TwinX™ </w:t>
      </w:r>
      <w:r w:rsidR="00F37888" w:rsidRPr="009559EA">
        <w:rPr>
          <w:rFonts w:ascii="Calibri" w:eastAsia="Times New Roman" w:hAnsi="Calibri"/>
          <w:i/>
          <w:iCs/>
          <w:lang w:val="en-GB"/>
        </w:rPr>
        <w:t xml:space="preserve">and </w:t>
      </w:r>
      <w:r w:rsidR="00DC47A0" w:rsidRPr="009559EA">
        <w:rPr>
          <w:rFonts w:ascii="Calibri" w:eastAsia="Times New Roman" w:hAnsi="Calibri"/>
          <w:i/>
          <w:iCs/>
          <w:lang w:val="en-GB"/>
        </w:rPr>
        <w:t>TCS HOBS</w:t>
      </w:r>
      <w:r w:rsidR="00F37888" w:rsidRPr="009559EA">
        <w:rPr>
          <w:rFonts w:ascii="Calibri" w:eastAsia="Times New Roman" w:hAnsi="Calibri"/>
          <w:i/>
          <w:iCs/>
          <w:lang w:val="en-GB"/>
        </w:rPr>
        <w:t>™</w:t>
      </w:r>
      <w:r w:rsidR="00DC47A0" w:rsidRPr="009559EA">
        <w:rPr>
          <w:rFonts w:ascii="Calibri" w:eastAsia="Times New Roman" w:hAnsi="Calibri"/>
          <w:i/>
          <w:iCs/>
          <w:lang w:val="en-GB"/>
        </w:rPr>
        <w:t>, empower</w:t>
      </w:r>
      <w:r w:rsidR="00F37888" w:rsidRPr="009559EA">
        <w:rPr>
          <w:rFonts w:ascii="Calibri" w:eastAsia="Times New Roman" w:hAnsi="Calibri"/>
          <w:i/>
          <w:iCs/>
          <w:lang w:val="en-GB"/>
        </w:rPr>
        <w:t>s</w:t>
      </w:r>
      <w:r w:rsidR="00DC47A0" w:rsidRPr="009559EA">
        <w:rPr>
          <w:rFonts w:ascii="Calibri" w:eastAsia="Times New Roman" w:hAnsi="Calibri"/>
          <w:i/>
          <w:iCs/>
          <w:lang w:val="en-GB"/>
        </w:rPr>
        <w:t xml:space="preserve"> TMT companies to rapidly experiment, simulate and launch new products and services, </w:t>
      </w:r>
      <w:r w:rsidR="00F37888" w:rsidRPr="009559EA">
        <w:rPr>
          <w:rFonts w:ascii="Calibri" w:eastAsia="Times New Roman" w:hAnsi="Calibri"/>
          <w:i/>
          <w:iCs/>
          <w:lang w:val="en-GB"/>
        </w:rPr>
        <w:t>and enhance the customer experience across the lifecycle</w:t>
      </w:r>
      <w:r w:rsidR="00DC47A0" w:rsidRPr="009559EA">
        <w:rPr>
          <w:rFonts w:ascii="Calibri" w:eastAsia="Times New Roman" w:hAnsi="Calibri"/>
          <w:lang w:val="en-GB"/>
        </w:rPr>
        <w:t>,</w:t>
      </w:r>
      <w:r w:rsidRPr="009559EA">
        <w:rPr>
          <w:rFonts w:ascii="Calibri" w:eastAsia="Times New Roman" w:hAnsi="Calibri"/>
          <w:lang w:val="en-GB"/>
        </w:rPr>
        <w:t>”</w:t>
      </w:r>
      <w:r w:rsidR="005C04F6" w:rsidRPr="009559EA">
        <w:rPr>
          <w:rFonts w:ascii="Calibri" w:eastAsia="Times New Roman" w:hAnsi="Calibri"/>
          <w:lang w:val="en-GB"/>
        </w:rPr>
        <w:t xml:space="preserve"> according to </w:t>
      </w:r>
      <w:r w:rsidR="005C04F6" w:rsidRPr="009559EA">
        <w:rPr>
          <w:rFonts w:ascii="Calibri" w:eastAsia="Times New Roman" w:hAnsi="Calibri"/>
          <w:b/>
          <w:bCs/>
          <w:lang w:val="en-GB"/>
        </w:rPr>
        <w:t>Kamal Bhadada, Business Group Head, Communications, Media and Information Services</w:t>
      </w:r>
      <w:r w:rsidR="00D117FD" w:rsidRPr="009559EA">
        <w:rPr>
          <w:rFonts w:ascii="Calibri" w:eastAsia="Times New Roman" w:hAnsi="Calibri"/>
          <w:b/>
          <w:bCs/>
          <w:lang w:val="en-GB"/>
        </w:rPr>
        <w:t>, TCS</w:t>
      </w:r>
      <w:r w:rsidR="005C04F6" w:rsidRPr="009559EA">
        <w:rPr>
          <w:rFonts w:ascii="Calibri" w:eastAsia="Times New Roman" w:hAnsi="Calibri"/>
          <w:lang w:val="en-GB"/>
        </w:rPr>
        <w:t>. “</w:t>
      </w:r>
      <w:r w:rsidR="005C04F6" w:rsidRPr="009559EA">
        <w:rPr>
          <w:rFonts w:ascii="Calibri" w:eastAsia="Times New Roman" w:hAnsi="Calibri"/>
          <w:i/>
          <w:iCs/>
          <w:lang w:val="en-GB"/>
        </w:rPr>
        <w:t xml:space="preserve">This recognition is a true testament to our </w:t>
      </w:r>
      <w:r w:rsidR="00252B52" w:rsidRPr="009559EA">
        <w:rPr>
          <w:rFonts w:ascii="Calibri" w:eastAsia="Times New Roman" w:hAnsi="Calibri"/>
          <w:i/>
          <w:iCs/>
          <w:lang w:val="en-GB"/>
        </w:rPr>
        <w:t xml:space="preserve">investments in </w:t>
      </w:r>
      <w:r w:rsidR="005C04F6" w:rsidRPr="009559EA">
        <w:rPr>
          <w:rFonts w:ascii="Calibri" w:eastAsia="Times New Roman" w:hAnsi="Calibri"/>
          <w:i/>
          <w:iCs/>
          <w:lang w:val="en-GB"/>
        </w:rPr>
        <w:t>innovati</w:t>
      </w:r>
      <w:r w:rsidR="00252B52" w:rsidRPr="009559EA">
        <w:rPr>
          <w:rFonts w:ascii="Calibri" w:eastAsia="Times New Roman" w:hAnsi="Calibri"/>
          <w:i/>
          <w:iCs/>
          <w:lang w:val="en-GB"/>
        </w:rPr>
        <w:t>on,</w:t>
      </w:r>
      <w:r w:rsidR="005C04F6" w:rsidRPr="009559EA">
        <w:rPr>
          <w:rFonts w:ascii="Calibri" w:eastAsia="Times New Roman" w:hAnsi="Calibri"/>
          <w:i/>
          <w:iCs/>
          <w:lang w:val="en-GB"/>
        </w:rPr>
        <w:t xml:space="preserve"> </w:t>
      </w:r>
      <w:r w:rsidR="00677664" w:rsidRPr="009559EA">
        <w:rPr>
          <w:rFonts w:ascii="Calibri" w:eastAsia="Times New Roman" w:hAnsi="Calibri"/>
          <w:i/>
          <w:iCs/>
          <w:lang w:val="en-GB"/>
        </w:rPr>
        <w:t xml:space="preserve">our </w:t>
      </w:r>
      <w:r w:rsidR="001B6AFC" w:rsidRPr="009559EA">
        <w:rPr>
          <w:rFonts w:ascii="Calibri" w:eastAsia="Times New Roman" w:hAnsi="Calibri"/>
          <w:i/>
          <w:iCs/>
          <w:lang w:val="en-GB"/>
        </w:rPr>
        <w:t xml:space="preserve">execution </w:t>
      </w:r>
      <w:r w:rsidR="005C04F6" w:rsidRPr="009559EA">
        <w:rPr>
          <w:rFonts w:ascii="Calibri" w:eastAsia="Times New Roman" w:hAnsi="Calibri"/>
          <w:i/>
          <w:iCs/>
          <w:lang w:val="en-GB"/>
        </w:rPr>
        <w:t>capabilities</w:t>
      </w:r>
      <w:r w:rsidR="00C04864" w:rsidRPr="009559EA">
        <w:rPr>
          <w:rFonts w:ascii="Calibri" w:eastAsia="Times New Roman" w:hAnsi="Calibri"/>
          <w:i/>
          <w:iCs/>
          <w:lang w:val="en-GB"/>
        </w:rPr>
        <w:t xml:space="preserve">, </w:t>
      </w:r>
      <w:r w:rsidR="00677664" w:rsidRPr="009559EA">
        <w:rPr>
          <w:rFonts w:ascii="Calibri" w:eastAsia="Times New Roman" w:hAnsi="Calibri"/>
          <w:i/>
          <w:iCs/>
          <w:lang w:val="en-GB"/>
        </w:rPr>
        <w:t xml:space="preserve">and </w:t>
      </w:r>
      <w:r w:rsidR="00FF749D" w:rsidRPr="009559EA">
        <w:rPr>
          <w:rFonts w:ascii="Calibri" w:eastAsia="Times New Roman" w:hAnsi="Calibri"/>
          <w:i/>
          <w:iCs/>
          <w:lang w:val="en-GB"/>
        </w:rPr>
        <w:t>our customer-centricity</w:t>
      </w:r>
      <w:r w:rsidR="005C04F6" w:rsidRPr="009559EA">
        <w:rPr>
          <w:rFonts w:ascii="Calibri" w:eastAsia="Times New Roman" w:hAnsi="Calibri"/>
          <w:i/>
          <w:iCs/>
          <w:lang w:val="en-GB"/>
        </w:rPr>
        <w:t xml:space="preserve"> </w:t>
      </w:r>
      <w:r w:rsidR="00252B52" w:rsidRPr="009559EA">
        <w:rPr>
          <w:rFonts w:ascii="Calibri" w:eastAsia="Times New Roman" w:hAnsi="Calibri"/>
          <w:i/>
          <w:iCs/>
          <w:lang w:val="en-GB"/>
        </w:rPr>
        <w:t xml:space="preserve">that help us </w:t>
      </w:r>
      <w:r w:rsidR="00677664" w:rsidRPr="009559EA">
        <w:rPr>
          <w:rFonts w:ascii="Calibri" w:eastAsia="Times New Roman" w:hAnsi="Calibri"/>
          <w:i/>
          <w:iCs/>
          <w:lang w:val="en-GB"/>
        </w:rPr>
        <w:t xml:space="preserve">drive </w:t>
      </w:r>
      <w:r w:rsidR="005C04F6" w:rsidRPr="009559EA">
        <w:rPr>
          <w:rFonts w:ascii="Calibri" w:eastAsia="Times New Roman" w:hAnsi="Calibri"/>
          <w:i/>
          <w:iCs/>
          <w:lang w:val="en-GB"/>
        </w:rPr>
        <w:t>purpose-led digital transformations for customers</w:t>
      </w:r>
      <w:r w:rsidR="005C04F6" w:rsidRPr="009559EA">
        <w:rPr>
          <w:rFonts w:ascii="Calibri" w:eastAsia="Times New Roman" w:hAnsi="Calibri"/>
          <w:lang w:val="en-GB"/>
        </w:rPr>
        <w:t>.”</w:t>
      </w:r>
    </w:p>
    <w:p w14:paraId="174ED9BA" w14:textId="47F1AFAC" w:rsidR="00FA0220" w:rsidRPr="009559EA" w:rsidRDefault="005C04F6" w:rsidP="005C04F6">
      <w:pPr>
        <w:widowControl/>
        <w:pBdr>
          <w:bottom w:val="single" w:sz="12" w:space="1" w:color="auto"/>
        </w:pBdr>
        <w:adjustRightInd w:val="0"/>
        <w:spacing w:after="120"/>
        <w:jc w:val="both"/>
        <w:rPr>
          <w:rFonts w:ascii="Calibri" w:eastAsia="Times New Roman" w:hAnsi="Calibri"/>
          <w:lang w:val="en-GB"/>
        </w:rPr>
      </w:pPr>
      <w:r w:rsidRPr="009559EA">
        <w:rPr>
          <w:rFonts w:ascii="Calibri" w:eastAsia="Times New Roman" w:hAnsi="Calibri"/>
          <w:lang w:val="en-GB"/>
        </w:rPr>
        <w:t xml:space="preserve">With over two decades of consulting and technology experience with TMT companies, TCS provides consulting services and domain solutions, powered by strategic investments in products and platforms and </w:t>
      </w:r>
      <w:r w:rsidR="00DD24A7" w:rsidRPr="009559EA">
        <w:rPr>
          <w:rFonts w:ascii="Calibri" w:eastAsia="Times New Roman" w:hAnsi="Calibri"/>
          <w:lang w:val="en-GB"/>
        </w:rPr>
        <w:t>its</w:t>
      </w:r>
      <w:r w:rsidRPr="009559EA">
        <w:rPr>
          <w:rFonts w:ascii="Calibri" w:eastAsia="Times New Roman" w:hAnsi="Calibri"/>
          <w:lang w:val="en-GB"/>
        </w:rPr>
        <w:t xml:space="preserve"> Co-innovation Network. TCS is enabling TMT companies to transform customer experience and drive growth by building a digital core through technologies such as cloud, IoT, data, agile and AI; creating innovative business models driven by innovation and integration of best practices across industries; and by adopting ecosystems as an operating model to transform and grow. </w:t>
      </w:r>
      <w:r w:rsidR="00F37888" w:rsidRPr="009559EA">
        <w:rPr>
          <w:rFonts w:ascii="Calibri" w:eastAsia="Times New Roman" w:hAnsi="Calibri"/>
          <w:lang w:val="en-GB"/>
        </w:rPr>
        <w:t>Two key platforms at the core of the business transformation journey for TMT companies are:</w:t>
      </w:r>
    </w:p>
    <w:p w14:paraId="7CFEB77F" w14:textId="2ADD1823" w:rsidR="00326BF4" w:rsidRPr="009559EA" w:rsidRDefault="00326BF4" w:rsidP="00326BF4">
      <w:pPr>
        <w:widowControl/>
        <w:pBdr>
          <w:bottom w:val="single" w:sz="12" w:space="1" w:color="auto"/>
        </w:pBdr>
        <w:adjustRightInd w:val="0"/>
        <w:spacing w:after="120"/>
        <w:jc w:val="both"/>
        <w:rPr>
          <w:rFonts w:ascii="Calibri" w:eastAsia="Times New Roman" w:hAnsi="Calibri"/>
          <w:lang w:val="en-GB"/>
        </w:rPr>
      </w:pPr>
      <w:r w:rsidRPr="009559EA">
        <w:rPr>
          <w:rFonts w:ascii="Calibri" w:eastAsia="Times New Roman" w:hAnsi="Calibri"/>
          <w:b/>
          <w:bCs/>
          <w:lang w:val="en-GB"/>
        </w:rPr>
        <w:t>TCS TwinX</w:t>
      </w:r>
      <w:r w:rsidR="007D4730" w:rsidRPr="009559EA">
        <w:rPr>
          <w:rFonts w:ascii="Calibri" w:eastAsia="Times New Roman" w:hAnsi="Calibri"/>
          <w:b/>
          <w:bCs/>
          <w:lang w:val="en-GB"/>
        </w:rPr>
        <w:t>:</w:t>
      </w:r>
      <w:r w:rsidRPr="009559EA">
        <w:rPr>
          <w:rFonts w:ascii="Calibri" w:eastAsia="Times New Roman" w:hAnsi="Calibri"/>
          <w:lang w:val="en-GB"/>
        </w:rPr>
        <w:t xml:space="preserve"> </w:t>
      </w:r>
      <w:r w:rsidR="007D4730" w:rsidRPr="009559EA">
        <w:rPr>
          <w:rFonts w:ascii="Calibri" w:eastAsia="Times New Roman" w:hAnsi="Calibri"/>
          <w:lang w:val="en-GB"/>
        </w:rPr>
        <w:t xml:space="preserve">Creates </w:t>
      </w:r>
      <w:r w:rsidR="00643921" w:rsidRPr="009559EA">
        <w:rPr>
          <w:rFonts w:ascii="Calibri" w:eastAsia="Times New Roman" w:hAnsi="Calibri"/>
          <w:lang w:val="en-GB"/>
        </w:rPr>
        <w:t xml:space="preserve">a </w:t>
      </w:r>
      <w:r w:rsidRPr="009559EA">
        <w:rPr>
          <w:rFonts w:ascii="Calibri" w:eastAsia="Times New Roman" w:hAnsi="Calibri"/>
          <w:lang w:val="en-GB"/>
        </w:rPr>
        <w:t xml:space="preserve">digital twin of </w:t>
      </w:r>
      <w:r w:rsidR="00643921" w:rsidRPr="009559EA">
        <w:rPr>
          <w:rFonts w:ascii="Calibri" w:eastAsia="Times New Roman" w:hAnsi="Calibri"/>
          <w:lang w:val="en-GB"/>
        </w:rPr>
        <w:t xml:space="preserve">the </w:t>
      </w:r>
      <w:r w:rsidR="006A7BD3" w:rsidRPr="009559EA">
        <w:rPr>
          <w:rFonts w:ascii="Calibri" w:eastAsia="Times New Roman" w:hAnsi="Calibri"/>
          <w:lang w:val="en-GB"/>
        </w:rPr>
        <w:t xml:space="preserve">enterprise’s </w:t>
      </w:r>
      <w:r w:rsidRPr="009559EA">
        <w:rPr>
          <w:rFonts w:ascii="Calibri" w:eastAsia="Times New Roman" w:hAnsi="Calibri"/>
          <w:lang w:val="en-GB"/>
        </w:rPr>
        <w:t>entire value chain ie customers, products, processes, partners and resources along with their interrelationships. Once modelled as twins, TwinX enables enterprises to simulate behavio</w:t>
      </w:r>
      <w:r w:rsidR="009D56E7">
        <w:rPr>
          <w:rFonts w:ascii="Calibri" w:eastAsia="Times New Roman" w:hAnsi="Calibri"/>
          <w:lang w:val="en-GB"/>
        </w:rPr>
        <w:t>u</w:t>
      </w:r>
      <w:r w:rsidRPr="009559EA">
        <w:rPr>
          <w:rFonts w:ascii="Calibri" w:eastAsia="Times New Roman" w:hAnsi="Calibri"/>
          <w:lang w:val="en-GB"/>
        </w:rPr>
        <w:t xml:space="preserve">r in response to decisions. </w:t>
      </w:r>
      <w:r w:rsidR="009022B6" w:rsidRPr="009559EA">
        <w:rPr>
          <w:rFonts w:ascii="Calibri" w:eastAsia="Times New Roman" w:hAnsi="Calibri"/>
          <w:lang w:val="en-GB"/>
        </w:rPr>
        <w:t>The solution</w:t>
      </w:r>
      <w:r w:rsidRPr="009559EA">
        <w:rPr>
          <w:rFonts w:ascii="Calibri" w:eastAsia="Times New Roman" w:hAnsi="Calibri"/>
          <w:lang w:val="en-GB"/>
        </w:rPr>
        <w:t xml:space="preserve"> offers significant empowerment to business decision-makers to experiment </w:t>
      </w:r>
      <w:r w:rsidR="009022B6" w:rsidRPr="009559EA">
        <w:rPr>
          <w:rFonts w:ascii="Calibri" w:eastAsia="Times New Roman" w:hAnsi="Calibri"/>
          <w:lang w:val="en-GB"/>
        </w:rPr>
        <w:t>and</w:t>
      </w:r>
      <w:r w:rsidRPr="009559EA">
        <w:rPr>
          <w:rFonts w:ascii="Calibri" w:eastAsia="Times New Roman" w:hAnsi="Calibri"/>
          <w:lang w:val="en-GB"/>
        </w:rPr>
        <w:t xml:space="preserve"> evaluate their decisions in a risk averse manner by testing multiple hypothesis through digital twin simulations before zeroing in on the right one. TCS TwinX can simulate hypothesis in several strategic areas such as </w:t>
      </w:r>
      <w:r w:rsidR="00664558" w:rsidRPr="009559EA">
        <w:rPr>
          <w:rFonts w:ascii="Calibri" w:eastAsia="Times New Roman" w:hAnsi="Calibri"/>
          <w:lang w:val="en-GB"/>
        </w:rPr>
        <w:t>new product launches, media mix and campaign design, customer lifetime value maximization, value chain optimization, business growth and transformation, fraud control and management, and risk analysis and mitigation</w:t>
      </w:r>
      <w:r w:rsidRPr="009559EA">
        <w:rPr>
          <w:rFonts w:ascii="Calibri" w:eastAsia="Times New Roman" w:hAnsi="Calibri"/>
          <w:lang w:val="en-GB"/>
        </w:rPr>
        <w:t>.</w:t>
      </w:r>
    </w:p>
    <w:p w14:paraId="0DC6827F" w14:textId="6987D8DE" w:rsidR="007D41A0" w:rsidRPr="009559EA" w:rsidRDefault="00DC47A0" w:rsidP="007D41A0">
      <w:pPr>
        <w:widowControl/>
        <w:pBdr>
          <w:bottom w:val="single" w:sz="12" w:space="1" w:color="auto"/>
        </w:pBdr>
        <w:adjustRightInd w:val="0"/>
        <w:spacing w:after="120"/>
        <w:jc w:val="both"/>
        <w:rPr>
          <w:rFonts w:ascii="Calibri" w:eastAsia="Times New Roman" w:hAnsi="Calibri"/>
          <w:lang w:val="en-GB"/>
        </w:rPr>
      </w:pPr>
      <w:r w:rsidRPr="009559EA">
        <w:rPr>
          <w:rFonts w:ascii="Calibri" w:eastAsia="Times New Roman" w:hAnsi="Calibri"/>
          <w:b/>
          <w:bCs/>
          <w:lang w:val="en-GB"/>
        </w:rPr>
        <w:t>TCS HOBS</w:t>
      </w:r>
      <w:r w:rsidR="007D4730" w:rsidRPr="009559EA">
        <w:rPr>
          <w:rFonts w:ascii="Calibri" w:eastAsia="Times New Roman" w:hAnsi="Calibri"/>
          <w:b/>
          <w:bCs/>
          <w:lang w:val="en-GB"/>
        </w:rPr>
        <w:t>:</w:t>
      </w:r>
      <w:r w:rsidRPr="009559EA">
        <w:rPr>
          <w:rFonts w:ascii="Calibri" w:eastAsia="Times New Roman" w:hAnsi="Calibri"/>
          <w:lang w:val="en-GB"/>
        </w:rPr>
        <w:t xml:space="preserve"> </w:t>
      </w:r>
      <w:r w:rsidR="007D4730" w:rsidRPr="009559EA">
        <w:rPr>
          <w:rFonts w:ascii="Calibri" w:eastAsia="Times New Roman" w:hAnsi="Calibri"/>
          <w:lang w:val="en-GB"/>
        </w:rPr>
        <w:t>A</w:t>
      </w:r>
      <w:r w:rsidRPr="009559EA">
        <w:rPr>
          <w:rFonts w:ascii="Calibri" w:eastAsia="Times New Roman" w:hAnsi="Calibri"/>
          <w:lang w:val="en-GB"/>
        </w:rPr>
        <w:t xml:space="preserve"> next-generation digital business ecosystem platform that helps TMT companies address the complexity of managing, orchestrating, and monetizing multi-partner offerings across multiple channels. </w:t>
      </w:r>
      <w:r w:rsidR="00FA1EC7" w:rsidRPr="009559EA">
        <w:rPr>
          <w:rFonts w:ascii="Calibri" w:eastAsia="Times New Roman" w:hAnsi="Calibri"/>
          <w:lang w:val="en-GB"/>
        </w:rPr>
        <w:t>With</w:t>
      </w:r>
      <w:r w:rsidRPr="009559EA">
        <w:rPr>
          <w:rFonts w:ascii="Calibri" w:eastAsia="Times New Roman" w:hAnsi="Calibri"/>
          <w:lang w:val="en-GB"/>
        </w:rPr>
        <w:t xml:space="preserve"> subscription management as a core capability, </w:t>
      </w:r>
      <w:r w:rsidR="00E156EA" w:rsidRPr="009559EA">
        <w:rPr>
          <w:rFonts w:ascii="Calibri" w:eastAsia="Times New Roman" w:hAnsi="Calibri"/>
          <w:lang w:val="en-GB"/>
        </w:rPr>
        <w:t>the platform</w:t>
      </w:r>
      <w:r w:rsidRPr="009559EA">
        <w:rPr>
          <w:rFonts w:ascii="Calibri" w:eastAsia="Times New Roman" w:hAnsi="Calibri"/>
          <w:lang w:val="en-GB"/>
        </w:rPr>
        <w:t xml:space="preserve"> also provides offerings around data monetization and device management. TCS HOBS delivers as-a-service subscription models with ecosystem orchestration and complex multi-partner product bundling capabilities.</w:t>
      </w:r>
    </w:p>
    <w:p w14:paraId="4B075591" w14:textId="40C38B1B" w:rsidR="003561C3" w:rsidRPr="009559EA" w:rsidRDefault="006D0E30" w:rsidP="00DC47A0">
      <w:pPr>
        <w:widowControl/>
        <w:pBdr>
          <w:bottom w:val="single" w:sz="12" w:space="1" w:color="auto"/>
        </w:pBdr>
        <w:adjustRightInd w:val="0"/>
        <w:spacing w:after="120"/>
        <w:jc w:val="both"/>
        <w:rPr>
          <w:rFonts w:ascii="Calibri" w:eastAsia="Times New Roman" w:hAnsi="Calibri"/>
          <w:lang w:val="en-GB"/>
        </w:rPr>
      </w:pPr>
      <w:r w:rsidRPr="009559EA">
        <w:rPr>
          <w:rFonts w:ascii="Calibri" w:eastAsia="Times New Roman" w:hAnsi="Calibri"/>
          <w:b/>
          <w:bCs/>
          <w:lang w:val="en-GB"/>
        </w:rPr>
        <w:t>Don Ryan, Senior Vice President, Research and Consulting, HFS Research</w:t>
      </w:r>
      <w:r w:rsidR="005E71CB">
        <w:rPr>
          <w:rFonts w:ascii="Calibri" w:eastAsia="Times New Roman" w:hAnsi="Calibri"/>
          <w:b/>
          <w:bCs/>
          <w:lang w:val="en-GB"/>
        </w:rPr>
        <w:t>,</w:t>
      </w:r>
      <w:r w:rsidRPr="009559EA">
        <w:rPr>
          <w:rFonts w:ascii="Calibri" w:eastAsia="Times New Roman" w:hAnsi="Calibri"/>
          <w:lang w:val="en-GB"/>
        </w:rPr>
        <w:t xml:space="preserve"> said, “</w:t>
      </w:r>
      <w:r w:rsidR="003561C3" w:rsidRPr="009559EA">
        <w:rPr>
          <w:rFonts w:ascii="Calibri" w:eastAsia="Times New Roman" w:hAnsi="Calibri"/>
          <w:i/>
          <w:iCs/>
          <w:lang w:val="en-GB"/>
        </w:rPr>
        <w:t xml:space="preserve">TCS is changing in-step with the TMT ecosystem. For HFS, its clarity of vision and approach </w:t>
      </w:r>
      <w:r w:rsidR="004C174E" w:rsidRPr="009559EA">
        <w:rPr>
          <w:rFonts w:ascii="Calibri" w:eastAsia="Times New Roman" w:hAnsi="Calibri"/>
          <w:i/>
          <w:iCs/>
          <w:lang w:val="en-GB"/>
        </w:rPr>
        <w:t>–</w:t>
      </w:r>
      <w:r w:rsidR="003561C3" w:rsidRPr="009559EA">
        <w:rPr>
          <w:rFonts w:ascii="Calibri" w:eastAsia="Times New Roman" w:hAnsi="Calibri"/>
          <w:i/>
          <w:iCs/>
          <w:lang w:val="en-GB"/>
        </w:rPr>
        <w:t xml:space="preserve"> and increasingly advisory-led engagements </w:t>
      </w:r>
      <w:r w:rsidR="004C174E" w:rsidRPr="009559EA">
        <w:rPr>
          <w:rFonts w:ascii="Calibri" w:eastAsia="Times New Roman" w:hAnsi="Calibri"/>
          <w:i/>
          <w:iCs/>
          <w:lang w:val="en-GB"/>
        </w:rPr>
        <w:t>–</w:t>
      </w:r>
      <w:r w:rsidR="003561C3" w:rsidRPr="009559EA">
        <w:rPr>
          <w:rFonts w:ascii="Calibri" w:eastAsia="Times New Roman" w:hAnsi="Calibri"/>
          <w:i/>
          <w:iCs/>
          <w:lang w:val="en-GB"/>
        </w:rPr>
        <w:t xml:space="preserve"> compliments its long-standing industry expertise in TMT </w:t>
      </w:r>
      <w:r w:rsidR="004C174E" w:rsidRPr="009559EA">
        <w:rPr>
          <w:rFonts w:ascii="Calibri" w:eastAsia="Times New Roman" w:hAnsi="Calibri"/>
          <w:i/>
          <w:iCs/>
          <w:lang w:val="en-GB"/>
        </w:rPr>
        <w:t>–</w:t>
      </w:r>
      <w:r w:rsidR="003561C3" w:rsidRPr="009559EA">
        <w:rPr>
          <w:rFonts w:ascii="Calibri" w:eastAsia="Times New Roman" w:hAnsi="Calibri"/>
          <w:i/>
          <w:iCs/>
          <w:lang w:val="en-GB"/>
        </w:rPr>
        <w:t xml:space="preserve"> but also in each sub-sector. TCS </w:t>
      </w:r>
      <w:r w:rsidR="003561C3" w:rsidRPr="009559EA">
        <w:rPr>
          <w:rFonts w:ascii="Calibri" w:eastAsia="Times New Roman" w:hAnsi="Calibri"/>
          <w:i/>
          <w:iCs/>
          <w:lang w:val="en-GB"/>
        </w:rPr>
        <w:lastRenderedPageBreak/>
        <w:t>leads on innovation</w:t>
      </w:r>
      <w:r w:rsidR="001E737B" w:rsidRPr="009559EA">
        <w:rPr>
          <w:rFonts w:ascii="Calibri" w:eastAsia="Times New Roman" w:hAnsi="Calibri"/>
          <w:i/>
          <w:iCs/>
          <w:lang w:val="en-GB"/>
        </w:rPr>
        <w:t xml:space="preserve"> in</w:t>
      </w:r>
      <w:r w:rsidR="003561C3" w:rsidRPr="009559EA">
        <w:rPr>
          <w:rFonts w:ascii="Calibri" w:eastAsia="Times New Roman" w:hAnsi="Calibri"/>
          <w:i/>
          <w:iCs/>
          <w:lang w:val="en-GB"/>
        </w:rPr>
        <w:t xml:space="preserve"> the TMT services market </w:t>
      </w:r>
      <w:r w:rsidR="001E737B" w:rsidRPr="009559EA">
        <w:rPr>
          <w:rFonts w:ascii="Calibri" w:eastAsia="Times New Roman" w:hAnsi="Calibri"/>
          <w:i/>
          <w:iCs/>
          <w:lang w:val="en-GB"/>
        </w:rPr>
        <w:t>–</w:t>
      </w:r>
      <w:r w:rsidR="003561C3" w:rsidRPr="009559EA">
        <w:rPr>
          <w:rFonts w:ascii="Calibri" w:eastAsia="Times New Roman" w:hAnsi="Calibri"/>
          <w:i/>
          <w:iCs/>
          <w:lang w:val="en-GB"/>
        </w:rPr>
        <w:t xml:space="preserve"> with standout use of digital twins, business-capability COEs, and developing TMT innovation into broader industry-specific solutions elsewhere</w:t>
      </w:r>
      <w:r w:rsidR="003561C3" w:rsidRPr="009559EA">
        <w:rPr>
          <w:rFonts w:ascii="Calibri" w:eastAsia="Times New Roman" w:hAnsi="Calibri"/>
          <w:lang w:val="en-GB"/>
        </w:rPr>
        <w:t>.</w:t>
      </w:r>
      <w:r w:rsidR="001E737B" w:rsidRPr="009559EA">
        <w:rPr>
          <w:rFonts w:ascii="Calibri" w:eastAsia="Times New Roman" w:hAnsi="Calibri"/>
          <w:lang w:val="en-GB"/>
        </w:rPr>
        <w:t>”</w:t>
      </w:r>
    </w:p>
    <w:p w14:paraId="77D34886" w14:textId="77777777" w:rsidR="00E47821" w:rsidRPr="009559EA" w:rsidRDefault="00E47821" w:rsidP="003702C4">
      <w:pPr>
        <w:widowControl/>
        <w:pBdr>
          <w:bottom w:val="single" w:sz="12" w:space="1" w:color="auto"/>
        </w:pBdr>
        <w:adjustRightInd w:val="0"/>
        <w:spacing w:after="120"/>
        <w:rPr>
          <w:rFonts w:ascii="Calibri" w:eastAsia="Times New Roman" w:hAnsi="Calibri"/>
          <w:b/>
          <w:bCs/>
          <w:lang w:val="en-GB"/>
        </w:rPr>
      </w:pPr>
    </w:p>
    <w:p w14:paraId="0A4E3839" w14:textId="77777777" w:rsidR="006312F8" w:rsidRPr="009559EA" w:rsidRDefault="006312F8" w:rsidP="006312F8">
      <w:pPr>
        <w:spacing w:after="120"/>
        <w:jc w:val="both"/>
        <w:rPr>
          <w:rFonts w:ascii="Calibri" w:hAnsi="Calibri" w:cs="Calibri"/>
          <w:color w:val="F0306C"/>
          <w:lang w:val="en-GB"/>
        </w:rPr>
      </w:pPr>
      <w:r w:rsidRPr="009559EA">
        <w:rPr>
          <w:rFonts w:ascii="Calibri" w:hAnsi="Calibri" w:cs="Calibri"/>
          <w:color w:val="F0306C"/>
          <w:lang w:val="en-GB"/>
        </w:rPr>
        <w:t>About</w:t>
      </w:r>
      <w:r w:rsidRPr="009559EA">
        <w:rPr>
          <w:rFonts w:ascii="Calibri" w:hAnsi="Calibri" w:cs="Calibri"/>
          <w:color w:val="F0306C"/>
          <w:spacing w:val="-9"/>
          <w:lang w:val="en-GB"/>
        </w:rPr>
        <w:t xml:space="preserve"> </w:t>
      </w:r>
      <w:r w:rsidRPr="009559EA">
        <w:rPr>
          <w:rFonts w:ascii="Calibri" w:hAnsi="Calibri" w:cs="Calibri"/>
          <w:color w:val="F0306C"/>
          <w:lang w:val="en-GB"/>
        </w:rPr>
        <w:t>Tata</w:t>
      </w:r>
      <w:r w:rsidRPr="009559EA">
        <w:rPr>
          <w:rFonts w:ascii="Calibri" w:hAnsi="Calibri" w:cs="Calibri"/>
          <w:color w:val="F0306C"/>
          <w:spacing w:val="-3"/>
          <w:lang w:val="en-GB"/>
        </w:rPr>
        <w:t xml:space="preserve"> </w:t>
      </w:r>
      <w:r w:rsidRPr="009559EA">
        <w:rPr>
          <w:rFonts w:ascii="Calibri" w:hAnsi="Calibri" w:cs="Calibri"/>
          <w:color w:val="F0306C"/>
          <w:lang w:val="en-GB"/>
        </w:rPr>
        <w:t>Consultancy</w:t>
      </w:r>
      <w:r w:rsidRPr="009559EA">
        <w:rPr>
          <w:rFonts w:ascii="Calibri" w:hAnsi="Calibri" w:cs="Calibri"/>
          <w:color w:val="F0306C"/>
          <w:spacing w:val="-4"/>
          <w:lang w:val="en-GB"/>
        </w:rPr>
        <w:t xml:space="preserve"> </w:t>
      </w:r>
      <w:r w:rsidRPr="009559EA">
        <w:rPr>
          <w:rFonts w:ascii="Calibri" w:hAnsi="Calibri" w:cs="Calibri"/>
          <w:color w:val="F0306C"/>
          <w:lang w:val="en-GB"/>
        </w:rPr>
        <w:t>Services</w:t>
      </w:r>
      <w:r w:rsidRPr="009559EA">
        <w:rPr>
          <w:rFonts w:ascii="Calibri" w:hAnsi="Calibri" w:cs="Calibri"/>
          <w:color w:val="F0306C"/>
          <w:spacing w:val="-4"/>
          <w:lang w:val="en-GB"/>
        </w:rPr>
        <w:t xml:space="preserve"> </w:t>
      </w:r>
      <w:r w:rsidRPr="009559EA">
        <w:rPr>
          <w:rFonts w:ascii="Calibri" w:hAnsi="Calibri" w:cs="Calibri"/>
          <w:color w:val="F0306C"/>
          <w:lang w:val="en-GB"/>
        </w:rPr>
        <w:t>(TCS)</w:t>
      </w:r>
    </w:p>
    <w:p w14:paraId="43A979F6" w14:textId="77777777" w:rsidR="00694BD5" w:rsidRPr="00B25ACC" w:rsidRDefault="00694BD5" w:rsidP="00694BD5">
      <w:pPr>
        <w:pStyle w:val="BodyText"/>
        <w:spacing w:after="120"/>
        <w:jc w:val="both"/>
        <w:rPr>
          <w:rFonts w:asciiTheme="minorHAnsi" w:hAnsiTheme="minorHAnsi" w:cstheme="minorHAnsi"/>
          <w:color w:val="231F20"/>
          <w:sz w:val="22"/>
          <w:szCs w:val="22"/>
        </w:rPr>
      </w:pPr>
      <w:r w:rsidRPr="00B25ACC">
        <w:rPr>
          <w:rFonts w:asciiTheme="minorHAnsi" w:hAnsiTheme="minorHAnsi" w:cstheme="minorHAnsi"/>
          <w:color w:val="231F20"/>
          <w:sz w:val="22"/>
          <w:szCs w:val="22"/>
        </w:rPr>
        <w:t>Tata Consultancy Services is an IT services, consulting and business solutions organization that has been partnering with many of the world’s largest businesses in their transformation journeys for over 50 years. TCS offers a consulting-led, cognitive powered, integrated portfolio of business, technology and engineering services and solutions. This is delivered through its unique Location Independent Agile™ delivery model, recognized as a benchmark of excellence in software development.</w:t>
      </w:r>
    </w:p>
    <w:p w14:paraId="57B89CD8" w14:textId="77777777" w:rsidR="00694BD5" w:rsidRPr="00B25ACC" w:rsidRDefault="00694BD5" w:rsidP="00694BD5">
      <w:pPr>
        <w:pStyle w:val="BodyText"/>
        <w:spacing w:after="120"/>
        <w:jc w:val="both"/>
        <w:rPr>
          <w:rFonts w:asciiTheme="minorHAnsi" w:hAnsiTheme="minorHAnsi" w:cstheme="minorHAnsi"/>
          <w:color w:val="231F20"/>
          <w:sz w:val="22"/>
          <w:szCs w:val="22"/>
        </w:rPr>
      </w:pPr>
      <w:r w:rsidRPr="00B25ACC">
        <w:rPr>
          <w:rFonts w:asciiTheme="minorHAnsi" w:hAnsiTheme="minorHAnsi" w:cstheme="minorHAnsi"/>
          <w:color w:val="231F20"/>
          <w:sz w:val="22"/>
          <w:szCs w:val="22"/>
        </w:rPr>
        <w:t>A part of the Tata group, India's largest multinational business group, TCS has over 488,000 of the world’s best-trained consultants in 46 countries. The company generated consolidated revenues of US $22.2 billion in the fiscal year ended March 31, 2021, and is listed on the BSE (formerly Bombay Stock Exchange) and the NSE (National Stock Exchange) in India. TCS' proactive stance on climate change and award-winning work with communities across the world have earned it a place in leading sustainability indices such as the MSCI Global Sustainability Index and the FTSE4Good Emerging Index. For more information, visit</w:t>
      </w:r>
      <w:r w:rsidRPr="00B25ACC">
        <w:rPr>
          <w:rFonts w:asciiTheme="minorHAnsi" w:hAnsiTheme="minorHAnsi" w:cstheme="minorHAnsi"/>
          <w:color w:val="231F20"/>
          <w:spacing w:val="-2"/>
          <w:sz w:val="22"/>
          <w:szCs w:val="22"/>
        </w:rPr>
        <w:t xml:space="preserve"> </w:t>
      </w:r>
      <w:hyperlink r:id="rId8" w:history="1">
        <w:r w:rsidRPr="000E03CA">
          <w:rPr>
            <w:rStyle w:val="Hyperlink"/>
            <w:rFonts w:asciiTheme="minorHAnsi" w:hAnsiTheme="minorHAnsi" w:cstheme="minorHAnsi"/>
            <w:b/>
            <w:bCs/>
            <w:color w:val="FF3399"/>
            <w:sz w:val="22"/>
            <w:szCs w:val="22"/>
          </w:rPr>
          <w:t>www.tcs.com</w:t>
        </w:r>
      </w:hyperlink>
      <w:r w:rsidRPr="00B25ACC">
        <w:rPr>
          <w:rFonts w:asciiTheme="minorHAnsi" w:hAnsiTheme="minorHAnsi" w:cstheme="minorHAnsi"/>
          <w:color w:val="231F20"/>
          <w:spacing w:val="-1"/>
          <w:sz w:val="22"/>
          <w:szCs w:val="22"/>
        </w:rPr>
        <w:t xml:space="preserve"> </w:t>
      </w:r>
      <w:r w:rsidRPr="00B25ACC">
        <w:rPr>
          <w:rFonts w:asciiTheme="minorHAnsi" w:hAnsiTheme="minorHAnsi" w:cstheme="minorHAnsi"/>
          <w:color w:val="231F20"/>
          <w:sz w:val="22"/>
          <w:szCs w:val="22"/>
        </w:rPr>
        <w:t>and</w:t>
      </w:r>
      <w:r w:rsidRPr="00B25ACC">
        <w:rPr>
          <w:rFonts w:asciiTheme="minorHAnsi" w:hAnsiTheme="minorHAnsi" w:cstheme="minorHAnsi"/>
          <w:color w:val="231F20"/>
          <w:spacing w:val="-2"/>
          <w:sz w:val="22"/>
          <w:szCs w:val="22"/>
        </w:rPr>
        <w:t xml:space="preserve"> </w:t>
      </w:r>
      <w:r w:rsidRPr="00B25ACC">
        <w:rPr>
          <w:rFonts w:asciiTheme="minorHAnsi" w:hAnsiTheme="minorHAnsi" w:cstheme="minorHAnsi"/>
          <w:color w:val="231F20"/>
          <w:sz w:val="22"/>
          <w:szCs w:val="22"/>
        </w:rPr>
        <w:t>follow</w:t>
      </w:r>
      <w:r w:rsidRPr="00B25ACC">
        <w:rPr>
          <w:rFonts w:asciiTheme="minorHAnsi" w:hAnsiTheme="minorHAnsi" w:cstheme="minorHAnsi"/>
          <w:color w:val="231F20"/>
          <w:spacing w:val="-5"/>
          <w:sz w:val="22"/>
          <w:szCs w:val="22"/>
        </w:rPr>
        <w:t xml:space="preserve"> </w:t>
      </w:r>
      <w:r w:rsidRPr="00B25ACC">
        <w:rPr>
          <w:rFonts w:asciiTheme="minorHAnsi" w:hAnsiTheme="minorHAnsi" w:cstheme="minorHAnsi"/>
          <w:color w:val="231F20"/>
          <w:sz w:val="22"/>
          <w:szCs w:val="22"/>
        </w:rPr>
        <w:t>TCS</w:t>
      </w:r>
      <w:r w:rsidRPr="00B25ACC">
        <w:rPr>
          <w:rFonts w:asciiTheme="minorHAnsi" w:hAnsiTheme="minorHAnsi" w:cstheme="minorHAnsi"/>
          <w:color w:val="231F20"/>
          <w:spacing w:val="-2"/>
          <w:sz w:val="22"/>
          <w:szCs w:val="22"/>
        </w:rPr>
        <w:t xml:space="preserve"> </w:t>
      </w:r>
      <w:r w:rsidRPr="00B25ACC">
        <w:rPr>
          <w:rFonts w:asciiTheme="minorHAnsi" w:hAnsiTheme="minorHAnsi" w:cstheme="minorHAnsi"/>
          <w:color w:val="231F20"/>
          <w:sz w:val="22"/>
          <w:szCs w:val="22"/>
        </w:rPr>
        <w:t>news</w:t>
      </w:r>
      <w:r w:rsidRPr="00B25ACC">
        <w:rPr>
          <w:rFonts w:asciiTheme="minorHAnsi" w:hAnsiTheme="minorHAnsi" w:cstheme="minorHAnsi"/>
          <w:color w:val="231F20"/>
          <w:spacing w:val="-1"/>
          <w:sz w:val="22"/>
          <w:szCs w:val="22"/>
        </w:rPr>
        <w:t xml:space="preserve"> </w:t>
      </w:r>
      <w:r w:rsidRPr="00B25ACC">
        <w:rPr>
          <w:rFonts w:asciiTheme="minorHAnsi" w:hAnsiTheme="minorHAnsi" w:cstheme="minorHAnsi"/>
          <w:color w:val="231F20"/>
          <w:sz w:val="22"/>
          <w:szCs w:val="22"/>
        </w:rPr>
        <w:t>at</w:t>
      </w:r>
      <w:r w:rsidRPr="00B25ACC">
        <w:rPr>
          <w:rFonts w:asciiTheme="minorHAnsi" w:hAnsiTheme="minorHAnsi" w:cstheme="minorHAnsi"/>
          <w:color w:val="231F20"/>
          <w:spacing w:val="-2"/>
          <w:sz w:val="22"/>
          <w:szCs w:val="22"/>
        </w:rPr>
        <w:t xml:space="preserve"> </w:t>
      </w:r>
      <w:hyperlink r:id="rId9" w:history="1">
        <w:r w:rsidRPr="000E03CA">
          <w:rPr>
            <w:rStyle w:val="Hyperlink"/>
            <w:rFonts w:asciiTheme="minorHAnsi" w:hAnsiTheme="minorHAnsi" w:cstheme="minorHAnsi"/>
            <w:b/>
            <w:bCs/>
            <w:color w:val="FF3399"/>
            <w:sz w:val="22"/>
            <w:szCs w:val="22"/>
          </w:rPr>
          <w:t>@TCS_News</w:t>
        </w:r>
      </w:hyperlink>
      <w:r w:rsidRPr="00B25ACC">
        <w:rPr>
          <w:rFonts w:asciiTheme="minorHAnsi" w:hAnsiTheme="minorHAnsi" w:cstheme="minorHAnsi"/>
          <w:color w:val="231F20"/>
          <w:sz w:val="22"/>
          <w:szCs w:val="22"/>
        </w:rPr>
        <w:t>.</w:t>
      </w:r>
    </w:p>
    <w:p w14:paraId="6065F970" w14:textId="77777777" w:rsidR="00694BD5" w:rsidRDefault="00694BD5" w:rsidP="00694BD5">
      <w:pPr>
        <w:pStyle w:val="NormalWeb"/>
        <w:spacing w:before="0" w:beforeAutospacing="0" w:after="0" w:afterAutospacing="0"/>
        <w:jc w:val="both"/>
        <w:rPr>
          <w:rFonts w:asciiTheme="minorHAnsi" w:hAnsiTheme="minorHAnsi" w:cstheme="minorHAnsi"/>
          <w:color w:val="000000" w:themeColor="text1"/>
          <w:sz w:val="22"/>
          <w:szCs w:val="22"/>
          <w:lang w:val="en-GB"/>
        </w:rPr>
      </w:pPr>
    </w:p>
    <w:p w14:paraId="74A7666B" w14:textId="55B5C252" w:rsidR="00D606C7" w:rsidRPr="00694BD5" w:rsidRDefault="00694BD5" w:rsidP="00694BD5">
      <w:pPr>
        <w:pStyle w:val="NormalWeb"/>
        <w:spacing w:before="0" w:beforeAutospacing="0" w:after="0" w:afterAutospacing="0"/>
        <w:jc w:val="both"/>
        <w:rPr>
          <w:rFonts w:asciiTheme="minorHAnsi" w:hAnsiTheme="minorHAnsi" w:cstheme="minorHAnsi"/>
          <w:color w:val="474747"/>
          <w:sz w:val="22"/>
          <w:szCs w:val="22"/>
          <w:shd w:val="clear" w:color="auto" w:fill="FFFFFF"/>
        </w:rPr>
      </w:pPr>
      <w:r w:rsidRPr="008F68FE">
        <w:rPr>
          <w:rFonts w:asciiTheme="minorHAnsi" w:hAnsiTheme="minorHAnsi" w:cstheme="minorHAnsi"/>
          <w:sz w:val="22"/>
          <w:szCs w:val="22"/>
          <w:shd w:val="clear" w:color="auto" w:fill="FFFFFF"/>
        </w:rPr>
        <w:t>To stay up-to-date on TCS global news, follow </w:t>
      </w:r>
      <w:hyperlink r:id="rId10" w:tgtFrame="_blank" w:history="1">
        <w:r w:rsidRPr="007978BC">
          <w:rPr>
            <w:rStyle w:val="Hyperlink"/>
            <w:rFonts w:asciiTheme="minorHAnsi" w:eastAsia="Arial" w:hAnsiTheme="minorHAnsi" w:cstheme="minorHAnsi"/>
            <w:color w:val="FF0066"/>
            <w:sz w:val="22"/>
            <w:szCs w:val="22"/>
            <w:shd w:val="clear" w:color="auto" w:fill="FFFFFF"/>
          </w:rPr>
          <w:t>@TCS_News</w:t>
        </w:r>
      </w:hyperlink>
      <w:r w:rsidR="006312F8" w:rsidRPr="009559EA">
        <w:rPr>
          <w:rFonts w:ascii="Calibri" w:hAnsi="Calibri" w:cs="Calibri"/>
          <w:color w:val="474747"/>
          <w:shd w:val="clear" w:color="auto" w:fill="FFFFFF"/>
          <w:lang w:val="en-GB"/>
        </w:rPr>
        <w:t>.</w:t>
      </w:r>
    </w:p>
    <w:p w14:paraId="6B26C8B5" w14:textId="77777777" w:rsidR="006312F8" w:rsidRPr="009559EA" w:rsidRDefault="006312F8" w:rsidP="006312F8">
      <w:pPr>
        <w:spacing w:after="120"/>
        <w:jc w:val="both"/>
        <w:rPr>
          <w:rFonts w:ascii="Calibri" w:hAnsi="Calibri" w:cs="Calibri"/>
          <w:color w:val="474747"/>
          <w:shd w:val="clear" w:color="auto" w:fill="FFFFFF"/>
          <w:lang w:val="en-GB"/>
        </w:rPr>
      </w:pPr>
    </w:p>
    <w:p w14:paraId="48FF979A" w14:textId="0D5A2EBF" w:rsidR="00D606C7" w:rsidRDefault="00D606C7" w:rsidP="003702C4">
      <w:pPr>
        <w:spacing w:after="120"/>
        <w:rPr>
          <w:rFonts w:asciiTheme="minorHAnsi" w:hAnsiTheme="minorHAnsi" w:cstheme="minorHAnsi"/>
          <w:b/>
          <w:lang w:val="en-GB"/>
        </w:rPr>
      </w:pPr>
      <w:bookmarkStart w:id="0" w:name="_Hlk51764947"/>
      <w:r w:rsidRPr="009559EA">
        <w:rPr>
          <w:rFonts w:asciiTheme="minorHAnsi" w:hAnsiTheme="minorHAnsi" w:cstheme="minorHAnsi"/>
          <w:b/>
          <w:lang w:val="en-GB"/>
        </w:rPr>
        <w:t>TCS media contacts:</w:t>
      </w:r>
    </w:p>
    <w:tbl>
      <w:tblPr>
        <w:tblW w:w="0" w:type="auto"/>
        <w:jc w:val="center"/>
        <w:tblLayout w:type="fixed"/>
        <w:tblLook w:val="00A0" w:firstRow="1" w:lastRow="0" w:firstColumn="1" w:lastColumn="0" w:noHBand="0" w:noVBand="0"/>
      </w:tblPr>
      <w:tblGrid>
        <w:gridCol w:w="2827"/>
        <w:gridCol w:w="6615"/>
      </w:tblGrid>
      <w:tr w:rsidR="0056559A" w:rsidRPr="00360AA1" w14:paraId="2431C517" w14:textId="77777777" w:rsidTr="00140A80">
        <w:trPr>
          <w:trHeight w:val="20"/>
          <w:jc w:val="center"/>
        </w:trPr>
        <w:tc>
          <w:tcPr>
            <w:tcW w:w="2827" w:type="dxa"/>
            <w:tcBorders>
              <w:top w:val="single" w:sz="6" w:space="0" w:color="000000"/>
              <w:left w:val="single" w:sz="6" w:space="0" w:color="000000"/>
              <w:bottom w:val="single" w:sz="6" w:space="0" w:color="000000"/>
              <w:right w:val="single" w:sz="6" w:space="0" w:color="000000"/>
            </w:tcBorders>
          </w:tcPr>
          <w:p w14:paraId="6A14D3E7" w14:textId="77777777" w:rsidR="0056559A" w:rsidRPr="00360AA1" w:rsidRDefault="0056559A" w:rsidP="00140A80">
            <w:pPr>
              <w:spacing w:after="120"/>
              <w:ind w:right="28"/>
              <w:rPr>
                <w:rFonts w:ascii="Calibri" w:hAnsi="Calibri" w:cs="Calibri"/>
              </w:rPr>
            </w:pPr>
            <w:r w:rsidRPr="00360AA1">
              <w:rPr>
                <w:rFonts w:ascii="Calibri" w:hAnsi="Calibri" w:cs="Calibri"/>
              </w:rPr>
              <w:t>Australia and New Zealand</w:t>
            </w:r>
          </w:p>
        </w:tc>
        <w:tc>
          <w:tcPr>
            <w:tcW w:w="6615" w:type="dxa"/>
            <w:tcBorders>
              <w:top w:val="single" w:sz="6" w:space="0" w:color="000000"/>
              <w:left w:val="single" w:sz="6" w:space="0" w:color="000000"/>
              <w:bottom w:val="single" w:sz="6" w:space="0" w:color="000000"/>
              <w:right w:val="single" w:sz="6" w:space="0" w:color="000000"/>
            </w:tcBorders>
          </w:tcPr>
          <w:p w14:paraId="3C1246C5" w14:textId="77777777" w:rsidR="0056559A" w:rsidRPr="00360AA1" w:rsidRDefault="0056559A" w:rsidP="00140A80">
            <w:pPr>
              <w:spacing w:after="120"/>
              <w:ind w:right="28"/>
              <w:rPr>
                <w:rFonts w:ascii="Calibri" w:hAnsi="Calibri" w:cs="Calibri"/>
              </w:rPr>
            </w:pPr>
            <w:r w:rsidRPr="00360AA1">
              <w:rPr>
                <w:rFonts w:ascii="Calibri" w:hAnsi="Calibri" w:cs="Calibri"/>
              </w:rPr>
              <w:t xml:space="preserve">Email: </w:t>
            </w:r>
            <w:hyperlink r:id="rId11" w:history="1">
              <w:r w:rsidRPr="00360AA1">
                <w:rPr>
                  <w:rFonts w:ascii="Calibri" w:eastAsia="MS Mincho" w:hAnsi="Calibri" w:cs="Calibri"/>
                  <w:color w:val="0000FF"/>
                  <w:u w:val="single"/>
                  <w:lang w:eastAsia="de-DE"/>
                </w:rPr>
                <w:t>kelly.ryan@tcs.com</w:t>
              </w:r>
            </w:hyperlink>
            <w:r w:rsidRPr="00360AA1">
              <w:rPr>
                <w:rFonts w:ascii="Calibri" w:hAnsi="Calibri" w:cs="Calibri"/>
              </w:rPr>
              <w:t xml:space="preserve"> | Phone: +61 422 989 682</w:t>
            </w:r>
          </w:p>
        </w:tc>
      </w:tr>
      <w:tr w:rsidR="0056559A" w:rsidRPr="00360AA1" w14:paraId="3240B820" w14:textId="77777777" w:rsidTr="00140A80">
        <w:trPr>
          <w:trHeight w:val="20"/>
          <w:jc w:val="center"/>
        </w:trPr>
        <w:tc>
          <w:tcPr>
            <w:tcW w:w="2827" w:type="dxa"/>
            <w:tcBorders>
              <w:top w:val="single" w:sz="6" w:space="0" w:color="000000"/>
              <w:left w:val="single" w:sz="6" w:space="0" w:color="000000"/>
              <w:bottom w:val="single" w:sz="6" w:space="0" w:color="000000"/>
              <w:right w:val="single" w:sz="6" w:space="0" w:color="000000"/>
            </w:tcBorders>
          </w:tcPr>
          <w:p w14:paraId="2462CECF" w14:textId="77777777" w:rsidR="0056559A" w:rsidRPr="00360AA1" w:rsidRDefault="0056559A" w:rsidP="00140A80">
            <w:pPr>
              <w:spacing w:after="120"/>
              <w:ind w:right="28"/>
              <w:rPr>
                <w:rFonts w:ascii="Calibri" w:hAnsi="Calibri" w:cs="Calibri"/>
              </w:rPr>
            </w:pPr>
            <w:r w:rsidRPr="00360AA1">
              <w:rPr>
                <w:rFonts w:ascii="Calibri" w:hAnsi="Calibri" w:cs="Calibri"/>
              </w:rPr>
              <w:t>Benelux</w:t>
            </w:r>
          </w:p>
        </w:tc>
        <w:tc>
          <w:tcPr>
            <w:tcW w:w="6615" w:type="dxa"/>
            <w:tcBorders>
              <w:top w:val="single" w:sz="6" w:space="0" w:color="000000"/>
              <w:left w:val="single" w:sz="6" w:space="0" w:color="000000"/>
              <w:bottom w:val="single" w:sz="6" w:space="0" w:color="000000"/>
              <w:right w:val="single" w:sz="6" w:space="0" w:color="000000"/>
            </w:tcBorders>
          </w:tcPr>
          <w:p w14:paraId="7DA4B1AA" w14:textId="77777777" w:rsidR="0056559A" w:rsidRPr="00360AA1" w:rsidRDefault="0056559A" w:rsidP="00140A80">
            <w:pPr>
              <w:spacing w:after="120"/>
              <w:ind w:right="28"/>
              <w:rPr>
                <w:rFonts w:ascii="Calibri" w:hAnsi="Calibri" w:cs="Calibri"/>
              </w:rPr>
            </w:pPr>
            <w:r w:rsidRPr="00360AA1">
              <w:rPr>
                <w:rFonts w:ascii="Calibri" w:hAnsi="Calibri" w:cs="Calibri"/>
              </w:rPr>
              <w:t xml:space="preserve">Email: </w:t>
            </w:r>
            <w:hyperlink r:id="rId12" w:history="1">
              <w:r w:rsidRPr="00360AA1">
                <w:rPr>
                  <w:rFonts w:ascii="Calibri" w:eastAsia="MS Mincho" w:hAnsi="Calibri" w:cs="Calibri"/>
                  <w:color w:val="0000FF"/>
                  <w:u w:val="single"/>
                  <w:lang w:eastAsia="de-DE"/>
                </w:rPr>
                <w:t>joost.galema@tcs.com</w:t>
              </w:r>
            </w:hyperlink>
            <w:r w:rsidRPr="00360AA1">
              <w:rPr>
                <w:rFonts w:ascii="Calibri" w:hAnsi="Calibri" w:cs="Calibri"/>
              </w:rPr>
              <w:t xml:space="preserve"> | Phone: +31 615 903387</w:t>
            </w:r>
          </w:p>
        </w:tc>
      </w:tr>
      <w:tr w:rsidR="0056559A" w:rsidRPr="00360AA1" w14:paraId="52E3B026" w14:textId="77777777" w:rsidTr="00140A80">
        <w:trPr>
          <w:trHeight w:val="20"/>
          <w:jc w:val="center"/>
        </w:trPr>
        <w:tc>
          <w:tcPr>
            <w:tcW w:w="2827" w:type="dxa"/>
            <w:tcBorders>
              <w:top w:val="single" w:sz="6" w:space="0" w:color="000000"/>
              <w:left w:val="single" w:sz="6" w:space="0" w:color="000000"/>
              <w:bottom w:val="single" w:sz="6" w:space="0" w:color="000000"/>
              <w:right w:val="single" w:sz="6" w:space="0" w:color="000000"/>
            </w:tcBorders>
          </w:tcPr>
          <w:p w14:paraId="77E476B8" w14:textId="77777777" w:rsidR="0056559A" w:rsidRPr="00360AA1" w:rsidRDefault="0056559A" w:rsidP="00140A80">
            <w:pPr>
              <w:spacing w:after="120"/>
              <w:ind w:right="28"/>
              <w:rPr>
                <w:rFonts w:ascii="Calibri" w:hAnsi="Calibri" w:cs="Calibri"/>
              </w:rPr>
            </w:pPr>
            <w:r w:rsidRPr="00360AA1">
              <w:rPr>
                <w:rFonts w:ascii="Calibri" w:hAnsi="Calibri" w:cs="Calibri"/>
              </w:rPr>
              <w:t xml:space="preserve">Canada </w:t>
            </w:r>
          </w:p>
        </w:tc>
        <w:tc>
          <w:tcPr>
            <w:tcW w:w="6615" w:type="dxa"/>
            <w:tcBorders>
              <w:top w:val="single" w:sz="6" w:space="0" w:color="000000"/>
              <w:left w:val="single" w:sz="6" w:space="0" w:color="000000"/>
              <w:bottom w:val="single" w:sz="6" w:space="0" w:color="000000"/>
              <w:right w:val="single" w:sz="6" w:space="0" w:color="000000"/>
            </w:tcBorders>
          </w:tcPr>
          <w:p w14:paraId="12AB5B8B" w14:textId="77777777" w:rsidR="0056559A" w:rsidRPr="00360AA1" w:rsidRDefault="0056559A" w:rsidP="00140A80">
            <w:pPr>
              <w:textAlignment w:val="baseline"/>
              <w:rPr>
                <w:rFonts w:ascii="Calibri" w:hAnsi="Calibri" w:cs="Calibri"/>
                <w:color w:val="000000"/>
                <w:lang w:val="en-IN" w:eastAsia="en-IN"/>
              </w:rPr>
            </w:pPr>
            <w:r w:rsidRPr="00360AA1">
              <w:rPr>
                <w:rFonts w:ascii="Calibri" w:hAnsi="Calibri" w:cs="Calibri"/>
                <w:color w:val="000000"/>
                <w:lang w:val="en-IN" w:eastAsia="en-IN"/>
              </w:rPr>
              <w:t>Email: </w:t>
            </w:r>
            <w:hyperlink r:id="rId13" w:tgtFrame="_blank" w:history="1">
              <w:r w:rsidRPr="00360AA1">
                <w:rPr>
                  <w:rFonts w:ascii="Calibri" w:eastAsia="MS Mincho" w:hAnsi="Calibri" w:cs="Calibri"/>
                  <w:color w:val="0000FF"/>
                  <w:u w:val="single"/>
                  <w:lang w:val="en-IN" w:eastAsia="en-IN"/>
                </w:rPr>
                <w:t>tia.thomas@tcs.com</w:t>
              </w:r>
            </w:hyperlink>
            <w:r w:rsidRPr="00360AA1">
              <w:rPr>
                <w:rFonts w:ascii="Calibri" w:eastAsia="MS Mincho" w:hAnsi="Calibri" w:cs="Calibri"/>
                <w:color w:val="0000FF"/>
                <w:lang w:val="en-IN" w:eastAsia="en-IN"/>
              </w:rPr>
              <w:t xml:space="preserve"> </w:t>
            </w:r>
            <w:r w:rsidRPr="00360AA1">
              <w:rPr>
                <w:rFonts w:ascii="Calibri" w:hAnsi="Calibri" w:cs="Calibri"/>
                <w:color w:val="000000"/>
                <w:lang w:val="en-IN" w:eastAsia="en-IN"/>
              </w:rPr>
              <w:t xml:space="preserve">| </w:t>
            </w:r>
            <w:r w:rsidRPr="00360AA1">
              <w:rPr>
                <w:rFonts w:ascii="Calibri" w:hAnsi="Calibri" w:cs="Calibri"/>
                <w:lang w:val="en-IN" w:eastAsia="en-IN"/>
              </w:rPr>
              <w:t>Phone</w:t>
            </w:r>
            <w:r w:rsidRPr="00360AA1">
              <w:rPr>
                <w:rFonts w:ascii="Calibri" w:hAnsi="Calibri" w:cs="Calibri"/>
                <w:color w:val="000000"/>
                <w:lang w:val="en-IN" w:eastAsia="en-IN"/>
              </w:rPr>
              <w:t>: +1 647 790 7602 </w:t>
            </w:r>
          </w:p>
        </w:tc>
      </w:tr>
      <w:tr w:rsidR="0056559A" w:rsidRPr="00360AA1" w14:paraId="31F5FA98" w14:textId="77777777" w:rsidTr="00140A80">
        <w:trPr>
          <w:trHeight w:val="20"/>
          <w:jc w:val="center"/>
        </w:trPr>
        <w:tc>
          <w:tcPr>
            <w:tcW w:w="2827" w:type="dxa"/>
            <w:tcBorders>
              <w:top w:val="single" w:sz="6" w:space="0" w:color="000000"/>
              <w:left w:val="single" w:sz="6" w:space="0" w:color="000000"/>
              <w:bottom w:val="single" w:sz="6" w:space="0" w:color="000000"/>
              <w:right w:val="single" w:sz="6" w:space="0" w:color="000000"/>
            </w:tcBorders>
          </w:tcPr>
          <w:p w14:paraId="03E974AE" w14:textId="77777777" w:rsidR="0056559A" w:rsidRPr="00360AA1" w:rsidRDefault="0056559A" w:rsidP="00140A80">
            <w:pPr>
              <w:spacing w:after="120"/>
              <w:ind w:right="28"/>
              <w:rPr>
                <w:rFonts w:ascii="Calibri" w:hAnsi="Calibri" w:cs="Calibri"/>
              </w:rPr>
            </w:pPr>
            <w:r w:rsidRPr="00360AA1">
              <w:rPr>
                <w:rFonts w:ascii="Calibri" w:hAnsi="Calibri" w:cs="Calibri"/>
              </w:rPr>
              <w:t>Europe</w:t>
            </w:r>
          </w:p>
        </w:tc>
        <w:tc>
          <w:tcPr>
            <w:tcW w:w="6615" w:type="dxa"/>
            <w:tcBorders>
              <w:top w:val="single" w:sz="6" w:space="0" w:color="000000"/>
              <w:left w:val="single" w:sz="6" w:space="0" w:color="000000"/>
              <w:bottom w:val="single" w:sz="6" w:space="0" w:color="000000"/>
              <w:right w:val="single" w:sz="6" w:space="0" w:color="000000"/>
            </w:tcBorders>
          </w:tcPr>
          <w:p w14:paraId="2E2DE6A4" w14:textId="77777777" w:rsidR="0056559A" w:rsidRPr="00360AA1" w:rsidRDefault="0056559A" w:rsidP="00140A80">
            <w:pPr>
              <w:spacing w:after="120"/>
              <w:ind w:right="28"/>
              <w:rPr>
                <w:rFonts w:ascii="Calibri" w:hAnsi="Calibri" w:cs="Calibri"/>
              </w:rPr>
            </w:pPr>
            <w:r w:rsidRPr="00360AA1">
              <w:rPr>
                <w:rFonts w:ascii="Calibri" w:hAnsi="Calibri" w:cs="Calibri"/>
              </w:rPr>
              <w:t xml:space="preserve">Email: </w:t>
            </w:r>
            <w:hyperlink r:id="rId14" w:history="1">
              <w:r w:rsidRPr="00360AA1">
                <w:rPr>
                  <w:rFonts w:ascii="Calibri" w:eastAsia="MS Mincho" w:hAnsi="Calibri" w:cs="Calibri"/>
                  <w:color w:val="0000FF"/>
                  <w:u w:val="single"/>
                  <w:lang w:eastAsia="de-DE"/>
                </w:rPr>
                <w:t>mattias.afgeijerstam@tcs.com</w:t>
              </w:r>
            </w:hyperlink>
            <w:r w:rsidRPr="00360AA1">
              <w:rPr>
                <w:rFonts w:ascii="Calibri" w:hAnsi="Calibri" w:cs="Calibri"/>
              </w:rPr>
              <w:t xml:space="preserve"> | Phone: +46 723 989 188</w:t>
            </w:r>
          </w:p>
        </w:tc>
      </w:tr>
      <w:tr w:rsidR="0056559A" w:rsidRPr="00360AA1" w14:paraId="44455CFF" w14:textId="77777777" w:rsidTr="00140A80">
        <w:trPr>
          <w:trHeight w:val="588"/>
          <w:jc w:val="center"/>
        </w:trPr>
        <w:tc>
          <w:tcPr>
            <w:tcW w:w="2827" w:type="dxa"/>
            <w:tcBorders>
              <w:top w:val="single" w:sz="6" w:space="0" w:color="000000"/>
              <w:left w:val="single" w:sz="6" w:space="0" w:color="000000"/>
              <w:bottom w:val="single" w:sz="6" w:space="0" w:color="000000"/>
              <w:right w:val="single" w:sz="6" w:space="0" w:color="000000"/>
            </w:tcBorders>
          </w:tcPr>
          <w:p w14:paraId="449B6AF7" w14:textId="77777777" w:rsidR="0056559A" w:rsidRPr="00360AA1" w:rsidRDefault="0056559A" w:rsidP="00140A80">
            <w:pPr>
              <w:spacing w:after="120"/>
              <w:ind w:right="28"/>
              <w:rPr>
                <w:rFonts w:ascii="Calibri" w:hAnsi="Calibri" w:cs="Calibri"/>
              </w:rPr>
            </w:pPr>
            <w:r w:rsidRPr="00360AA1">
              <w:rPr>
                <w:rFonts w:ascii="Calibri" w:hAnsi="Calibri" w:cs="Calibri"/>
              </w:rPr>
              <w:t>India</w:t>
            </w:r>
          </w:p>
        </w:tc>
        <w:tc>
          <w:tcPr>
            <w:tcW w:w="6615" w:type="dxa"/>
            <w:tcBorders>
              <w:top w:val="single" w:sz="6" w:space="0" w:color="000000"/>
              <w:left w:val="single" w:sz="6" w:space="0" w:color="000000"/>
              <w:bottom w:val="single" w:sz="6" w:space="0" w:color="000000"/>
              <w:right w:val="single" w:sz="6" w:space="0" w:color="000000"/>
            </w:tcBorders>
          </w:tcPr>
          <w:p w14:paraId="19636617" w14:textId="77777777" w:rsidR="0056559A" w:rsidRDefault="0056559A" w:rsidP="00140A80">
            <w:pPr>
              <w:ind w:right="28"/>
              <w:rPr>
                <w:rFonts w:ascii="Calibri" w:hAnsi="Calibri" w:cs="Calibri"/>
              </w:rPr>
            </w:pPr>
            <w:r>
              <w:rPr>
                <w:rFonts w:ascii="Calibri" w:hAnsi="Calibri" w:cs="Calibri"/>
              </w:rPr>
              <w:t xml:space="preserve">Email: </w:t>
            </w:r>
            <w:hyperlink r:id="rId15" w:history="1">
              <w:r w:rsidRPr="00F97A8D">
                <w:rPr>
                  <w:rStyle w:val="Hyperlink"/>
                  <w:rFonts w:ascii="Calibri" w:eastAsia="MS Mincho" w:hAnsi="Calibri" w:cs="Calibri"/>
                </w:rPr>
                <w:t>saxena.kritika@tcs.com</w:t>
              </w:r>
            </w:hyperlink>
            <w:r>
              <w:rPr>
                <w:rFonts w:ascii="Calibri" w:hAnsi="Calibri" w:cs="Calibri"/>
              </w:rPr>
              <w:t xml:space="preserve">| Phone: </w:t>
            </w:r>
            <w:r w:rsidRPr="00B3546F">
              <w:rPr>
                <w:rFonts w:ascii="Calibri" w:hAnsi="Calibri" w:cs="Calibri"/>
              </w:rPr>
              <w:t>+91 22 6778 9999</w:t>
            </w:r>
          </w:p>
          <w:p w14:paraId="15504A76" w14:textId="77777777" w:rsidR="0056559A" w:rsidRPr="00360AA1" w:rsidRDefault="0056559A" w:rsidP="00140A80">
            <w:pPr>
              <w:ind w:right="28"/>
              <w:rPr>
                <w:rFonts w:ascii="Calibri" w:hAnsi="Calibri" w:cs="Calibri"/>
              </w:rPr>
            </w:pPr>
            <w:r>
              <w:rPr>
                <w:rFonts w:ascii="Calibri" w:hAnsi="Calibri" w:cs="Calibri"/>
              </w:rPr>
              <w:t xml:space="preserve">Email: </w:t>
            </w:r>
            <w:r w:rsidRPr="00122B15">
              <w:rPr>
                <w:rFonts w:ascii="Calibri" w:hAnsi="Calibri" w:cs="Calibri"/>
                <w:color w:val="0000FF"/>
                <w:u w:val="single"/>
              </w:rPr>
              <w:t>vanshika.sood@tcs.com</w:t>
            </w:r>
            <w:r>
              <w:rPr>
                <w:rFonts w:ascii="Calibri" w:hAnsi="Calibri" w:cs="Calibri"/>
              </w:rPr>
              <w:t xml:space="preserve"> | Phone: </w:t>
            </w:r>
            <w:r w:rsidRPr="00AA65C9">
              <w:rPr>
                <w:rFonts w:ascii="Calibri" w:hAnsi="Calibri" w:cs="Calibri"/>
              </w:rPr>
              <w:t>+91 22 67789098</w:t>
            </w:r>
          </w:p>
        </w:tc>
      </w:tr>
      <w:tr w:rsidR="0056559A" w:rsidRPr="00360AA1" w14:paraId="7A876407" w14:textId="77777777" w:rsidTr="00140A80">
        <w:trPr>
          <w:trHeight w:val="20"/>
          <w:jc w:val="center"/>
        </w:trPr>
        <w:tc>
          <w:tcPr>
            <w:tcW w:w="2827" w:type="dxa"/>
            <w:tcBorders>
              <w:top w:val="single" w:sz="6" w:space="0" w:color="000000"/>
              <w:left w:val="single" w:sz="6" w:space="0" w:color="000000"/>
              <w:bottom w:val="single" w:sz="6" w:space="0" w:color="000000"/>
              <w:right w:val="single" w:sz="6" w:space="0" w:color="000000"/>
            </w:tcBorders>
          </w:tcPr>
          <w:p w14:paraId="340D6B18" w14:textId="77777777" w:rsidR="0056559A" w:rsidRPr="00360AA1" w:rsidRDefault="0056559A" w:rsidP="00140A80">
            <w:pPr>
              <w:spacing w:after="120"/>
              <w:ind w:right="28"/>
              <w:rPr>
                <w:rFonts w:ascii="Calibri" w:hAnsi="Calibri" w:cs="Calibri"/>
              </w:rPr>
            </w:pPr>
            <w:r w:rsidRPr="00360AA1">
              <w:rPr>
                <w:rFonts w:ascii="Calibri" w:hAnsi="Calibri" w:cs="Calibri"/>
              </w:rPr>
              <w:t>Middle East &amp; Africa</w:t>
            </w:r>
          </w:p>
        </w:tc>
        <w:tc>
          <w:tcPr>
            <w:tcW w:w="6615" w:type="dxa"/>
            <w:tcBorders>
              <w:top w:val="single" w:sz="6" w:space="0" w:color="000000"/>
              <w:left w:val="single" w:sz="6" w:space="0" w:color="000000"/>
              <w:bottom w:val="single" w:sz="6" w:space="0" w:color="000000"/>
              <w:right w:val="single" w:sz="6" w:space="0" w:color="000000"/>
            </w:tcBorders>
          </w:tcPr>
          <w:p w14:paraId="01D24400" w14:textId="77777777" w:rsidR="0056559A" w:rsidRPr="00360AA1" w:rsidRDefault="0056559A" w:rsidP="00140A80">
            <w:pPr>
              <w:rPr>
                <w:rFonts w:ascii="Calibri" w:hAnsi="Calibri" w:cs="Calibri"/>
              </w:rPr>
            </w:pPr>
            <w:r w:rsidRPr="00360AA1">
              <w:rPr>
                <w:rFonts w:ascii="Calibri" w:hAnsi="Calibri" w:cs="Calibri"/>
              </w:rPr>
              <w:t xml:space="preserve">Email: </w:t>
            </w:r>
            <w:hyperlink r:id="rId16" w:history="1">
              <w:r w:rsidRPr="00F97A8D">
                <w:rPr>
                  <w:rStyle w:val="Hyperlink"/>
                  <w:rFonts w:ascii="Calibri" w:eastAsia="MS Mincho" w:hAnsi="Calibri" w:cs="Calibri"/>
                </w:rPr>
                <w:t>s.hasneen@tcs.com</w:t>
              </w:r>
            </w:hyperlink>
            <w:r w:rsidRPr="00360AA1">
              <w:rPr>
                <w:rFonts w:ascii="Calibri" w:hAnsi="Calibri" w:cs="Calibri"/>
              </w:rPr>
              <w:t xml:space="preserve"> | Phone: +971567471988</w:t>
            </w:r>
          </w:p>
        </w:tc>
      </w:tr>
      <w:tr w:rsidR="0056559A" w:rsidRPr="00360AA1" w14:paraId="70F67FD2" w14:textId="77777777" w:rsidTr="00140A80">
        <w:trPr>
          <w:trHeight w:val="20"/>
          <w:jc w:val="center"/>
        </w:trPr>
        <w:tc>
          <w:tcPr>
            <w:tcW w:w="2827" w:type="dxa"/>
            <w:tcBorders>
              <w:top w:val="single" w:sz="6" w:space="0" w:color="000000"/>
              <w:left w:val="single" w:sz="6" w:space="0" w:color="000000"/>
              <w:bottom w:val="single" w:sz="6" w:space="0" w:color="000000"/>
              <w:right w:val="single" w:sz="6" w:space="0" w:color="000000"/>
            </w:tcBorders>
          </w:tcPr>
          <w:p w14:paraId="37154AF2" w14:textId="77777777" w:rsidR="0056559A" w:rsidRPr="00360AA1" w:rsidRDefault="0056559A" w:rsidP="00140A80">
            <w:pPr>
              <w:spacing w:after="120"/>
              <w:ind w:right="28"/>
              <w:rPr>
                <w:rFonts w:ascii="Calibri" w:hAnsi="Calibri" w:cs="Calibri"/>
              </w:rPr>
            </w:pPr>
            <w:r w:rsidRPr="00360AA1">
              <w:rPr>
                <w:rFonts w:ascii="Calibri" w:hAnsi="Calibri" w:cs="Calibri"/>
              </w:rPr>
              <w:t>Japan</w:t>
            </w:r>
          </w:p>
        </w:tc>
        <w:tc>
          <w:tcPr>
            <w:tcW w:w="6615" w:type="dxa"/>
            <w:tcBorders>
              <w:top w:val="single" w:sz="6" w:space="0" w:color="000000"/>
              <w:left w:val="single" w:sz="6" w:space="0" w:color="000000"/>
              <w:bottom w:val="single" w:sz="6" w:space="0" w:color="000000"/>
              <w:right w:val="single" w:sz="6" w:space="0" w:color="000000"/>
            </w:tcBorders>
          </w:tcPr>
          <w:p w14:paraId="46E8EDC5" w14:textId="77777777" w:rsidR="0056559A" w:rsidRPr="00360AA1" w:rsidRDefault="0056559A" w:rsidP="00140A80">
            <w:pPr>
              <w:spacing w:after="120"/>
              <w:ind w:right="28"/>
              <w:rPr>
                <w:rFonts w:ascii="Calibri" w:hAnsi="Calibri" w:cs="Calibri"/>
              </w:rPr>
            </w:pPr>
            <w:r w:rsidRPr="00360AA1">
              <w:rPr>
                <w:rFonts w:ascii="Calibri" w:hAnsi="Calibri" w:cs="Calibri"/>
              </w:rPr>
              <w:t xml:space="preserve">Email: </w:t>
            </w:r>
            <w:hyperlink r:id="rId17" w:history="1">
              <w:r w:rsidRPr="00360AA1">
                <w:rPr>
                  <w:rFonts w:ascii="Calibri" w:eastAsia="MS Mincho" w:hAnsi="Calibri" w:cs="Calibri"/>
                  <w:color w:val="0000FF"/>
                  <w:u w:val="single"/>
                  <w:lang w:eastAsia="de-DE"/>
                </w:rPr>
                <w:t>douglas.foote@tcs.com</w:t>
              </w:r>
            </w:hyperlink>
            <w:r w:rsidRPr="00360AA1">
              <w:rPr>
                <w:rFonts w:ascii="Calibri" w:hAnsi="Calibri" w:cs="Calibri"/>
              </w:rPr>
              <w:t xml:space="preserve"> | Phone: +81 80-2115-0989</w:t>
            </w:r>
          </w:p>
        </w:tc>
      </w:tr>
      <w:tr w:rsidR="0056559A" w:rsidRPr="00360AA1" w14:paraId="7D4CB993" w14:textId="77777777" w:rsidTr="00140A80">
        <w:trPr>
          <w:trHeight w:val="20"/>
          <w:jc w:val="center"/>
        </w:trPr>
        <w:tc>
          <w:tcPr>
            <w:tcW w:w="2827" w:type="dxa"/>
            <w:tcBorders>
              <w:top w:val="single" w:sz="6" w:space="0" w:color="000000"/>
              <w:left w:val="single" w:sz="6" w:space="0" w:color="000000"/>
              <w:bottom w:val="single" w:sz="6" w:space="0" w:color="000000"/>
              <w:right w:val="single" w:sz="6" w:space="0" w:color="000000"/>
            </w:tcBorders>
          </w:tcPr>
          <w:p w14:paraId="3B9292A7" w14:textId="77777777" w:rsidR="0056559A" w:rsidRPr="00360AA1" w:rsidRDefault="0056559A" w:rsidP="00140A80">
            <w:pPr>
              <w:spacing w:after="120"/>
              <w:ind w:right="28"/>
              <w:rPr>
                <w:rFonts w:ascii="Calibri" w:hAnsi="Calibri" w:cs="Calibri"/>
              </w:rPr>
            </w:pPr>
            <w:r w:rsidRPr="00360AA1">
              <w:rPr>
                <w:rFonts w:ascii="Calibri" w:hAnsi="Calibri" w:cs="Calibri"/>
              </w:rPr>
              <w:t>Latin America</w:t>
            </w:r>
          </w:p>
        </w:tc>
        <w:tc>
          <w:tcPr>
            <w:tcW w:w="6615" w:type="dxa"/>
            <w:tcBorders>
              <w:top w:val="single" w:sz="6" w:space="0" w:color="000000"/>
              <w:left w:val="single" w:sz="6" w:space="0" w:color="000000"/>
              <w:bottom w:val="single" w:sz="6" w:space="0" w:color="000000"/>
              <w:right w:val="single" w:sz="6" w:space="0" w:color="000000"/>
            </w:tcBorders>
          </w:tcPr>
          <w:p w14:paraId="0110D1C9" w14:textId="77777777" w:rsidR="0056559A" w:rsidRPr="00360AA1" w:rsidRDefault="0056559A" w:rsidP="00140A80">
            <w:pPr>
              <w:spacing w:after="120"/>
              <w:ind w:right="28"/>
              <w:rPr>
                <w:rFonts w:ascii="Calibri" w:hAnsi="Calibri" w:cs="Calibri"/>
              </w:rPr>
            </w:pPr>
            <w:r w:rsidRPr="00360AA1">
              <w:rPr>
                <w:rFonts w:ascii="Calibri" w:hAnsi="Calibri" w:cs="Calibri"/>
              </w:rPr>
              <w:t xml:space="preserve">Email: </w:t>
            </w:r>
            <w:hyperlink r:id="rId18" w:history="1">
              <w:r w:rsidRPr="00360AA1">
                <w:rPr>
                  <w:rFonts w:ascii="Calibri" w:eastAsia="MS Mincho" w:hAnsi="Calibri" w:cs="Calibri"/>
                  <w:color w:val="0000FF"/>
                  <w:u w:val="single"/>
                  <w:lang w:eastAsia="de-DE"/>
                </w:rPr>
                <w:t>martin.karich@tcs.com</w:t>
              </w:r>
            </w:hyperlink>
            <w:r w:rsidRPr="00360AA1">
              <w:rPr>
                <w:rFonts w:ascii="Calibri" w:hAnsi="Calibri" w:cs="Calibri"/>
              </w:rPr>
              <w:t xml:space="preserve"> | Phone: +569 6170 9013</w:t>
            </w:r>
          </w:p>
        </w:tc>
      </w:tr>
      <w:tr w:rsidR="0056559A" w:rsidRPr="00360AA1" w14:paraId="0525FD05" w14:textId="77777777" w:rsidTr="00140A80">
        <w:trPr>
          <w:trHeight w:val="20"/>
          <w:jc w:val="center"/>
        </w:trPr>
        <w:tc>
          <w:tcPr>
            <w:tcW w:w="2827" w:type="dxa"/>
            <w:tcBorders>
              <w:top w:val="single" w:sz="6" w:space="0" w:color="000000"/>
              <w:left w:val="single" w:sz="6" w:space="0" w:color="000000"/>
              <w:bottom w:val="single" w:sz="6" w:space="0" w:color="000000"/>
              <w:right w:val="single" w:sz="6" w:space="0" w:color="000000"/>
            </w:tcBorders>
          </w:tcPr>
          <w:p w14:paraId="03782708" w14:textId="77777777" w:rsidR="0056559A" w:rsidRPr="00360AA1" w:rsidRDefault="0056559A" w:rsidP="00140A80">
            <w:pPr>
              <w:spacing w:after="120"/>
              <w:ind w:right="28"/>
              <w:rPr>
                <w:rFonts w:ascii="Calibri" w:hAnsi="Calibri" w:cs="Calibri"/>
              </w:rPr>
            </w:pPr>
            <w:r w:rsidRPr="00360AA1">
              <w:rPr>
                <w:rFonts w:ascii="Calibri" w:hAnsi="Calibri" w:cs="Calibri"/>
              </w:rPr>
              <w:t>Nordics</w:t>
            </w:r>
          </w:p>
        </w:tc>
        <w:tc>
          <w:tcPr>
            <w:tcW w:w="6615" w:type="dxa"/>
            <w:tcBorders>
              <w:top w:val="single" w:sz="6" w:space="0" w:color="000000"/>
              <w:left w:val="single" w:sz="6" w:space="0" w:color="000000"/>
              <w:bottom w:val="single" w:sz="6" w:space="0" w:color="000000"/>
              <w:right w:val="single" w:sz="6" w:space="0" w:color="000000"/>
            </w:tcBorders>
          </w:tcPr>
          <w:p w14:paraId="337E08D7" w14:textId="77777777" w:rsidR="0056559A" w:rsidRPr="00360AA1" w:rsidRDefault="0056559A" w:rsidP="00140A80">
            <w:pPr>
              <w:spacing w:after="120"/>
              <w:ind w:right="28"/>
              <w:rPr>
                <w:rFonts w:ascii="Calibri" w:hAnsi="Calibri" w:cs="Calibri"/>
              </w:rPr>
            </w:pPr>
            <w:r w:rsidRPr="00360AA1">
              <w:rPr>
                <w:rFonts w:ascii="Calibri" w:hAnsi="Calibri" w:cs="Calibri"/>
              </w:rPr>
              <w:t xml:space="preserve">Email: </w:t>
            </w:r>
            <w:r w:rsidRPr="00360AA1">
              <w:rPr>
                <w:rFonts w:ascii="Calibri" w:eastAsia="MS Mincho" w:hAnsi="Calibri" w:cs="Calibri"/>
                <w:color w:val="0000FF"/>
                <w:u w:val="single"/>
                <w:lang w:eastAsia="de-DE"/>
              </w:rPr>
              <w:t>roland.bagen@tcs.com</w:t>
            </w:r>
            <w:r w:rsidRPr="00360AA1">
              <w:rPr>
                <w:rFonts w:ascii="Calibri" w:hAnsi="Calibri" w:cs="Calibri"/>
              </w:rPr>
              <w:t xml:space="preserve"> | Phone: +46 70 317 80 24</w:t>
            </w:r>
          </w:p>
        </w:tc>
      </w:tr>
      <w:tr w:rsidR="0056559A" w:rsidRPr="00360AA1" w14:paraId="7CDF05A3" w14:textId="77777777" w:rsidTr="00140A80">
        <w:trPr>
          <w:trHeight w:val="20"/>
          <w:jc w:val="center"/>
        </w:trPr>
        <w:tc>
          <w:tcPr>
            <w:tcW w:w="2827" w:type="dxa"/>
            <w:tcBorders>
              <w:top w:val="single" w:sz="6" w:space="0" w:color="000000"/>
              <w:left w:val="single" w:sz="6" w:space="0" w:color="000000"/>
              <w:bottom w:val="single" w:sz="6" w:space="0" w:color="000000"/>
              <w:right w:val="single" w:sz="6" w:space="0" w:color="000000"/>
            </w:tcBorders>
          </w:tcPr>
          <w:p w14:paraId="1D686549" w14:textId="77777777" w:rsidR="0056559A" w:rsidRPr="00360AA1" w:rsidRDefault="0056559A" w:rsidP="00140A80">
            <w:pPr>
              <w:spacing w:after="120"/>
              <w:ind w:right="28"/>
              <w:rPr>
                <w:rFonts w:ascii="Calibri" w:hAnsi="Calibri" w:cs="Calibri"/>
              </w:rPr>
            </w:pPr>
            <w:r w:rsidRPr="00360AA1">
              <w:rPr>
                <w:rFonts w:ascii="Calibri" w:hAnsi="Calibri" w:cs="Calibri"/>
              </w:rPr>
              <w:t>UK</w:t>
            </w:r>
          </w:p>
        </w:tc>
        <w:tc>
          <w:tcPr>
            <w:tcW w:w="6615" w:type="dxa"/>
            <w:tcBorders>
              <w:top w:val="single" w:sz="6" w:space="0" w:color="000000"/>
              <w:left w:val="single" w:sz="6" w:space="0" w:color="000000"/>
              <w:bottom w:val="single" w:sz="6" w:space="0" w:color="000000"/>
              <w:right w:val="single" w:sz="6" w:space="0" w:color="000000"/>
            </w:tcBorders>
          </w:tcPr>
          <w:p w14:paraId="49026B66" w14:textId="77777777" w:rsidR="0056559A" w:rsidRPr="00360AA1" w:rsidRDefault="0056559A" w:rsidP="00140A80">
            <w:pPr>
              <w:spacing w:after="120"/>
              <w:ind w:right="28"/>
              <w:rPr>
                <w:rFonts w:ascii="Calibri" w:hAnsi="Calibri" w:cs="Calibri"/>
              </w:rPr>
            </w:pPr>
            <w:r w:rsidRPr="00360AA1">
              <w:rPr>
                <w:rFonts w:ascii="Calibri" w:hAnsi="Calibri" w:cs="Calibri"/>
              </w:rPr>
              <w:t xml:space="preserve">Email: </w:t>
            </w:r>
            <w:hyperlink r:id="rId19" w:history="1">
              <w:r w:rsidRPr="00360AA1">
                <w:rPr>
                  <w:rFonts w:ascii="Calibri" w:eastAsia="MS Mincho" w:hAnsi="Calibri" w:cs="Calibri"/>
                  <w:color w:val="0000FF"/>
                  <w:u w:val="single"/>
                  <w:lang w:eastAsia="de-DE"/>
                </w:rPr>
                <w:t>peter.devery@tcs.com</w:t>
              </w:r>
            </w:hyperlink>
            <w:r w:rsidRPr="00360AA1">
              <w:rPr>
                <w:rFonts w:ascii="Calibri" w:hAnsi="Calibri" w:cs="Calibri"/>
              </w:rPr>
              <w:t xml:space="preserve"> | Phone: +44 20 3155 2421</w:t>
            </w:r>
          </w:p>
        </w:tc>
      </w:tr>
      <w:tr w:rsidR="0056559A" w:rsidRPr="00360AA1" w14:paraId="70A9D735" w14:textId="77777777" w:rsidTr="00140A80">
        <w:trPr>
          <w:trHeight w:val="20"/>
          <w:jc w:val="center"/>
        </w:trPr>
        <w:tc>
          <w:tcPr>
            <w:tcW w:w="2827" w:type="dxa"/>
            <w:tcBorders>
              <w:top w:val="single" w:sz="6" w:space="0" w:color="000000"/>
              <w:left w:val="single" w:sz="6" w:space="0" w:color="000000"/>
              <w:bottom w:val="single" w:sz="6" w:space="0" w:color="000000"/>
              <w:right w:val="single" w:sz="6" w:space="0" w:color="000000"/>
            </w:tcBorders>
          </w:tcPr>
          <w:p w14:paraId="12E83966" w14:textId="77777777" w:rsidR="0056559A" w:rsidRPr="00360AA1" w:rsidRDefault="0056559A" w:rsidP="00140A80">
            <w:pPr>
              <w:spacing w:after="120"/>
              <w:ind w:right="28"/>
              <w:rPr>
                <w:rFonts w:ascii="Calibri" w:hAnsi="Calibri" w:cs="Calibri"/>
              </w:rPr>
            </w:pPr>
            <w:r w:rsidRPr="00360AA1">
              <w:rPr>
                <w:rFonts w:ascii="Calibri" w:hAnsi="Calibri" w:cs="Calibri"/>
              </w:rPr>
              <w:t xml:space="preserve">USA </w:t>
            </w:r>
          </w:p>
        </w:tc>
        <w:tc>
          <w:tcPr>
            <w:tcW w:w="6615" w:type="dxa"/>
            <w:tcBorders>
              <w:top w:val="single" w:sz="6" w:space="0" w:color="000000"/>
              <w:left w:val="single" w:sz="6" w:space="0" w:color="000000"/>
              <w:bottom w:val="single" w:sz="6" w:space="0" w:color="000000"/>
              <w:right w:val="single" w:sz="6" w:space="0" w:color="000000"/>
            </w:tcBorders>
          </w:tcPr>
          <w:p w14:paraId="71EEC934" w14:textId="77777777" w:rsidR="0056559A" w:rsidRPr="00360AA1" w:rsidRDefault="0056559A" w:rsidP="00140A80">
            <w:pPr>
              <w:spacing w:after="120"/>
              <w:ind w:right="28"/>
              <w:rPr>
                <w:rFonts w:ascii="Calibri" w:hAnsi="Calibri" w:cs="Calibri"/>
              </w:rPr>
            </w:pPr>
            <w:r w:rsidRPr="00360AA1">
              <w:rPr>
                <w:rFonts w:ascii="Calibri" w:hAnsi="Calibri" w:cs="Calibri"/>
              </w:rPr>
              <w:t xml:space="preserve">Email: </w:t>
            </w:r>
            <w:hyperlink r:id="rId20" w:history="1">
              <w:r w:rsidRPr="00360AA1">
                <w:rPr>
                  <w:rFonts w:ascii="Calibri" w:eastAsia="MS Mincho" w:hAnsi="Calibri" w:cs="Calibri"/>
                  <w:color w:val="0000FF"/>
                  <w:u w:val="single"/>
                </w:rPr>
                <w:t>william.thomas@tcs.com</w:t>
              </w:r>
            </w:hyperlink>
            <w:r w:rsidRPr="00360AA1">
              <w:rPr>
                <w:rFonts w:ascii="Calibri" w:hAnsi="Calibri" w:cs="Calibri"/>
              </w:rPr>
              <w:t xml:space="preserve">  | Phone: +1 203-984-3978</w:t>
            </w:r>
          </w:p>
        </w:tc>
      </w:tr>
    </w:tbl>
    <w:p w14:paraId="3EB20E41" w14:textId="77777777" w:rsidR="0056559A" w:rsidRPr="00360AA1" w:rsidRDefault="0056559A" w:rsidP="0056559A">
      <w:pPr>
        <w:jc w:val="center"/>
        <w:rPr>
          <w:rFonts w:ascii="Calibri" w:hAnsi="Calibri" w:cs="Calibri"/>
          <w:b/>
        </w:rPr>
      </w:pPr>
    </w:p>
    <w:p w14:paraId="4FD9B325" w14:textId="77777777" w:rsidR="0056559A" w:rsidRPr="00360AA1" w:rsidRDefault="0056559A" w:rsidP="0056559A">
      <w:pPr>
        <w:jc w:val="center"/>
        <w:rPr>
          <w:rFonts w:ascii="Calibri" w:hAnsi="Calibri" w:cs="Calibri"/>
        </w:rPr>
      </w:pPr>
      <w:r w:rsidRPr="00360AA1">
        <w:rPr>
          <w:rFonts w:ascii="Calibri" w:hAnsi="Calibri" w:cs="Calibri"/>
          <w:b/>
        </w:rPr>
        <w:t># # #</w:t>
      </w:r>
    </w:p>
    <w:bookmarkEnd w:id="0"/>
    <w:p w14:paraId="57C0008B" w14:textId="77777777" w:rsidR="0056559A" w:rsidRPr="009559EA" w:rsidRDefault="0056559A" w:rsidP="003702C4">
      <w:pPr>
        <w:spacing w:after="120"/>
        <w:rPr>
          <w:rFonts w:asciiTheme="minorHAnsi" w:hAnsiTheme="minorHAnsi" w:cstheme="minorHAnsi"/>
          <w:b/>
          <w:lang w:val="en-GB"/>
        </w:rPr>
      </w:pPr>
    </w:p>
    <w:sectPr w:rsidR="0056559A" w:rsidRPr="009559EA" w:rsidSect="00103187">
      <w:headerReference w:type="default" r:id="rId21"/>
      <w:footerReference w:type="default" r:id="rId22"/>
      <w:pgSz w:w="11910" w:h="16840"/>
      <w:pgMar w:top="2977" w:right="1290" w:bottom="280" w:left="1276" w:header="0" w:footer="5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C5BA05" w14:textId="77777777" w:rsidR="009A2D98" w:rsidRDefault="009A2D98">
      <w:r>
        <w:separator/>
      </w:r>
    </w:p>
  </w:endnote>
  <w:endnote w:type="continuationSeparator" w:id="0">
    <w:p w14:paraId="420FAA2D" w14:textId="77777777" w:rsidR="009A2D98" w:rsidRDefault="009A2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77B816B5-D461-46D6-8F8F-A7105BB72CEE}"/>
    <w:embedBold r:id="rId2" w:fontKey="{3954DDB1-9C47-4F8E-8449-C599D5FCDA06}"/>
    <w:embedItalic r:id="rId3" w:fontKey="{D95E4FD7-CDFC-4A2B-83AB-9AE3A5EF22A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22B89365-B7A1-4ECB-AA0A-CF30ABB72E40}"/>
  </w:font>
  <w:font w:name="Cambria">
    <w:panose1 w:val="02040503050406030204"/>
    <w:charset w:val="00"/>
    <w:family w:val="roman"/>
    <w:pitch w:val="variable"/>
    <w:sig w:usb0="E00006FF" w:usb1="420024FF" w:usb2="02000000" w:usb3="00000000" w:csb0="0000019F" w:csb1="00000000"/>
    <w:embedRegular r:id="rId5" w:fontKey="{8AC34C51-426E-405A-B7E5-10D15CB587F1}"/>
    <w:embedBold r:id="rId6" w:fontKey="{A94678CF-5A3C-455A-B4DA-B9FB3C0A0A90}"/>
  </w:font>
  <w:font w:name="Calibri Light">
    <w:panose1 w:val="020F0302020204030204"/>
    <w:charset w:val="00"/>
    <w:family w:val="swiss"/>
    <w:pitch w:val="variable"/>
    <w:sig w:usb0="E0002AFF" w:usb1="C000247B" w:usb2="00000009" w:usb3="00000000" w:csb0="000001FF" w:csb1="00000000"/>
    <w:embedRegular r:id="rId7" w:fontKey="{7E43E475-D7B2-4941-A966-E1576C3FBA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mbria" w:hAnsi="Cambria" w:cs="Cambria"/>
        <w:sz w:val="18"/>
        <w:szCs w:val="18"/>
      </w:rPr>
      <w:id w:val="-950474244"/>
      <w:docPartObj>
        <w:docPartGallery w:val="Page Numbers (Bottom of Page)"/>
        <w:docPartUnique/>
      </w:docPartObj>
    </w:sdtPr>
    <w:sdtEndPr/>
    <w:sdtContent>
      <w:sdt>
        <w:sdtPr>
          <w:rPr>
            <w:rFonts w:ascii="Cambria" w:hAnsi="Cambria" w:cs="Cambria"/>
            <w:sz w:val="18"/>
            <w:szCs w:val="18"/>
          </w:rPr>
          <w:id w:val="-1705238520"/>
          <w:docPartObj>
            <w:docPartGallery w:val="Page Numbers (Top of Page)"/>
            <w:docPartUnique/>
          </w:docPartObj>
        </w:sdtPr>
        <w:sdtEndPr/>
        <w:sdtContent>
          <w:p w14:paraId="1F686D63" w14:textId="20948796" w:rsidR="00CC7321" w:rsidRPr="00A752E2" w:rsidRDefault="00CC7321" w:rsidP="00F83945">
            <w:pPr>
              <w:pStyle w:val="Footer"/>
              <w:jc w:val="right"/>
              <w:rPr>
                <w:rFonts w:ascii="Cambria" w:hAnsi="Cambria" w:cs="Cambria"/>
                <w:sz w:val="18"/>
                <w:szCs w:val="18"/>
              </w:rPr>
            </w:pPr>
            <w:r w:rsidRPr="00A752E2">
              <w:rPr>
                <w:rFonts w:ascii="Cambria" w:hAnsi="Cambria" w:cs="Cambria"/>
                <w:sz w:val="18"/>
                <w:szCs w:val="18"/>
              </w:rPr>
              <w:t xml:space="preserve">Page </w:t>
            </w:r>
            <w:r w:rsidRPr="00A752E2">
              <w:rPr>
                <w:rFonts w:ascii="Cambria" w:hAnsi="Cambria" w:cs="Cambria"/>
                <w:b/>
                <w:bCs/>
                <w:sz w:val="20"/>
                <w:szCs w:val="20"/>
              </w:rPr>
              <w:fldChar w:fldCharType="begin"/>
            </w:r>
            <w:r w:rsidRPr="00A752E2">
              <w:rPr>
                <w:rFonts w:ascii="Cambria" w:hAnsi="Cambria" w:cs="Cambria"/>
                <w:b/>
                <w:bCs/>
                <w:sz w:val="18"/>
                <w:szCs w:val="18"/>
              </w:rPr>
              <w:instrText xml:space="preserve"> PAGE </w:instrText>
            </w:r>
            <w:r w:rsidRPr="00A752E2">
              <w:rPr>
                <w:rFonts w:ascii="Cambria" w:hAnsi="Cambria" w:cs="Cambria"/>
                <w:b/>
                <w:bCs/>
                <w:sz w:val="20"/>
                <w:szCs w:val="20"/>
              </w:rPr>
              <w:fldChar w:fldCharType="separate"/>
            </w:r>
            <w:r w:rsidRPr="00A752E2">
              <w:rPr>
                <w:rFonts w:ascii="Cambria" w:hAnsi="Cambria" w:cs="Cambria"/>
                <w:b/>
                <w:bCs/>
                <w:noProof/>
                <w:sz w:val="18"/>
                <w:szCs w:val="18"/>
              </w:rPr>
              <w:t>2</w:t>
            </w:r>
            <w:r w:rsidRPr="00A752E2">
              <w:rPr>
                <w:rFonts w:ascii="Cambria" w:hAnsi="Cambria" w:cs="Cambria"/>
                <w:b/>
                <w:bCs/>
                <w:sz w:val="20"/>
                <w:szCs w:val="20"/>
              </w:rPr>
              <w:fldChar w:fldCharType="end"/>
            </w:r>
            <w:r w:rsidRPr="00A752E2">
              <w:rPr>
                <w:rFonts w:ascii="Cambria" w:hAnsi="Cambria" w:cs="Cambria"/>
                <w:sz w:val="18"/>
                <w:szCs w:val="18"/>
              </w:rPr>
              <w:t xml:space="preserve"> of </w:t>
            </w:r>
            <w:r w:rsidRPr="00A752E2">
              <w:rPr>
                <w:rFonts w:ascii="Cambria" w:hAnsi="Cambria" w:cs="Cambria"/>
                <w:b/>
                <w:bCs/>
                <w:sz w:val="20"/>
                <w:szCs w:val="20"/>
              </w:rPr>
              <w:fldChar w:fldCharType="begin"/>
            </w:r>
            <w:r w:rsidRPr="00A752E2">
              <w:rPr>
                <w:rFonts w:ascii="Cambria" w:hAnsi="Cambria" w:cs="Cambria"/>
                <w:b/>
                <w:bCs/>
                <w:sz w:val="18"/>
                <w:szCs w:val="18"/>
              </w:rPr>
              <w:instrText xml:space="preserve"> NUMPAGES  </w:instrText>
            </w:r>
            <w:r w:rsidRPr="00A752E2">
              <w:rPr>
                <w:rFonts w:ascii="Cambria" w:hAnsi="Cambria" w:cs="Cambria"/>
                <w:b/>
                <w:bCs/>
                <w:sz w:val="20"/>
                <w:szCs w:val="20"/>
              </w:rPr>
              <w:fldChar w:fldCharType="separate"/>
            </w:r>
            <w:r w:rsidRPr="00A752E2">
              <w:rPr>
                <w:rFonts w:ascii="Cambria" w:hAnsi="Cambria" w:cs="Cambria"/>
                <w:b/>
                <w:bCs/>
                <w:noProof/>
                <w:sz w:val="18"/>
                <w:szCs w:val="18"/>
              </w:rPr>
              <w:t>2</w:t>
            </w:r>
            <w:r w:rsidRPr="00A752E2">
              <w:rPr>
                <w:rFonts w:ascii="Cambria" w:hAnsi="Cambria" w:cs="Cambria"/>
                <w:b/>
                <w:bCs/>
                <w:sz w:val="20"/>
                <w:szCs w:val="20"/>
              </w:rPr>
              <w:fldChar w:fldCharType="end"/>
            </w:r>
          </w:p>
        </w:sdtContent>
      </w:sdt>
    </w:sdtContent>
  </w:sdt>
  <w:p w14:paraId="47D33775" w14:textId="77777777" w:rsidR="00CC7321" w:rsidRDefault="00CC7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93A78" w14:textId="77777777" w:rsidR="009A2D98" w:rsidRDefault="009A2D98">
      <w:r>
        <w:separator/>
      </w:r>
    </w:p>
  </w:footnote>
  <w:footnote w:type="continuationSeparator" w:id="0">
    <w:p w14:paraId="17119B3B" w14:textId="77777777" w:rsidR="009A2D98" w:rsidRDefault="009A2D98">
      <w:r>
        <w:continuationSeparator/>
      </w:r>
    </w:p>
  </w:footnote>
  <w:footnote w:id="1">
    <w:p w14:paraId="52286CC4" w14:textId="1BC7DD26" w:rsidR="00326BF4" w:rsidRPr="00326BF4" w:rsidRDefault="00326BF4">
      <w:pPr>
        <w:pStyle w:val="FootnoteText"/>
        <w:rPr>
          <w:rFonts w:asciiTheme="minorHAnsi" w:hAnsiTheme="minorHAnsi" w:cstheme="minorHAnsi"/>
        </w:rPr>
      </w:pPr>
      <w:r w:rsidRPr="00326BF4">
        <w:rPr>
          <w:rStyle w:val="FootnoteReference"/>
          <w:rFonts w:asciiTheme="minorHAnsi" w:hAnsiTheme="minorHAnsi" w:cstheme="minorHAnsi"/>
        </w:rPr>
        <w:footnoteRef/>
      </w:r>
      <w:r w:rsidRPr="00326BF4">
        <w:rPr>
          <w:rFonts w:asciiTheme="minorHAnsi" w:hAnsiTheme="minorHAnsi" w:cstheme="minorHAnsi"/>
        </w:rPr>
        <w:t xml:space="preserve"> HFS TMT (Telecom, Media, and Technology) Service Providers Top 10 2021, Don Ryan, Josh Matthews, Mayank Madhur, HFS Research, April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46D3B" w14:textId="44E81C6D" w:rsidR="006631CE" w:rsidRPr="00C43AC9" w:rsidRDefault="002904B0" w:rsidP="00DF2B9B">
    <w:pPr>
      <w:pStyle w:val="Header"/>
    </w:pPr>
    <w:r>
      <w:rPr>
        <w:noProof/>
      </w:rPr>
      <w:drawing>
        <wp:anchor distT="0" distB="0" distL="114300" distR="114300" simplePos="0" relativeHeight="251658240" behindDoc="1" locked="0" layoutInCell="1" allowOverlap="1" wp14:anchorId="564F0C87" wp14:editId="0CCB6304">
          <wp:simplePos x="0" y="0"/>
          <wp:positionH relativeFrom="page">
            <wp:posOffset>5492</wp:posOffset>
          </wp:positionH>
          <wp:positionV relativeFrom="paragraph">
            <wp:posOffset>0</wp:posOffset>
          </wp:positionV>
          <wp:extent cx="7557770" cy="1619885"/>
          <wp:effectExtent l="0" t="0" r="5080" b="0"/>
          <wp:wrapTight wrapText="bothSides">
            <wp:wrapPolygon edited="0">
              <wp:start x="0" y="0"/>
              <wp:lineTo x="0" y="21338"/>
              <wp:lineTo x="21560" y="21338"/>
              <wp:lineTo x="215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3026"/>
    <w:multiLevelType w:val="hybridMultilevel"/>
    <w:tmpl w:val="AE8CB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29167D"/>
    <w:multiLevelType w:val="hybridMultilevel"/>
    <w:tmpl w:val="D35A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E32"/>
    <w:rsid w:val="00002FDC"/>
    <w:rsid w:val="000178E3"/>
    <w:rsid w:val="000200CD"/>
    <w:rsid w:val="00020EDC"/>
    <w:rsid w:val="00035869"/>
    <w:rsid w:val="000366AD"/>
    <w:rsid w:val="00040861"/>
    <w:rsid w:val="00042C56"/>
    <w:rsid w:val="00045088"/>
    <w:rsid w:val="00055535"/>
    <w:rsid w:val="000560F5"/>
    <w:rsid w:val="00056F2D"/>
    <w:rsid w:val="00063D55"/>
    <w:rsid w:val="00076485"/>
    <w:rsid w:val="000B7316"/>
    <w:rsid w:val="000C44A4"/>
    <w:rsid w:val="000D7D71"/>
    <w:rsid w:val="000F0BC7"/>
    <w:rsid w:val="000F1978"/>
    <w:rsid w:val="000F7256"/>
    <w:rsid w:val="00103187"/>
    <w:rsid w:val="0014097A"/>
    <w:rsid w:val="001464DF"/>
    <w:rsid w:val="00147DC2"/>
    <w:rsid w:val="00163959"/>
    <w:rsid w:val="00166D6A"/>
    <w:rsid w:val="00182B5D"/>
    <w:rsid w:val="001941BF"/>
    <w:rsid w:val="00195540"/>
    <w:rsid w:val="001B5165"/>
    <w:rsid w:val="001B6AFC"/>
    <w:rsid w:val="001C08DD"/>
    <w:rsid w:val="001C7586"/>
    <w:rsid w:val="001D1E57"/>
    <w:rsid w:val="001E737B"/>
    <w:rsid w:val="002017AB"/>
    <w:rsid w:val="00204127"/>
    <w:rsid w:val="00204B21"/>
    <w:rsid w:val="00210E65"/>
    <w:rsid w:val="00214D2F"/>
    <w:rsid w:val="00215813"/>
    <w:rsid w:val="00223C3C"/>
    <w:rsid w:val="00223EE8"/>
    <w:rsid w:val="00224161"/>
    <w:rsid w:val="0024063A"/>
    <w:rsid w:val="00243488"/>
    <w:rsid w:val="0024740B"/>
    <w:rsid w:val="002511DB"/>
    <w:rsid w:val="00252B52"/>
    <w:rsid w:val="00256BE7"/>
    <w:rsid w:val="00262406"/>
    <w:rsid w:val="00265106"/>
    <w:rsid w:val="002656BF"/>
    <w:rsid w:val="00270368"/>
    <w:rsid w:val="00282E37"/>
    <w:rsid w:val="00284191"/>
    <w:rsid w:val="002904B0"/>
    <w:rsid w:val="00292999"/>
    <w:rsid w:val="0029438D"/>
    <w:rsid w:val="0029571F"/>
    <w:rsid w:val="002B08BB"/>
    <w:rsid w:val="002B1869"/>
    <w:rsid w:val="002B746C"/>
    <w:rsid w:val="002C11D9"/>
    <w:rsid w:val="002D73D1"/>
    <w:rsid w:val="002E2190"/>
    <w:rsid w:val="002E2CAB"/>
    <w:rsid w:val="002E4243"/>
    <w:rsid w:val="00321FFB"/>
    <w:rsid w:val="00326BF4"/>
    <w:rsid w:val="003273DD"/>
    <w:rsid w:val="00333E2C"/>
    <w:rsid w:val="00337DAC"/>
    <w:rsid w:val="00343E8F"/>
    <w:rsid w:val="0035069F"/>
    <w:rsid w:val="003561C3"/>
    <w:rsid w:val="0036015E"/>
    <w:rsid w:val="00360877"/>
    <w:rsid w:val="00366743"/>
    <w:rsid w:val="003702C4"/>
    <w:rsid w:val="00372AC4"/>
    <w:rsid w:val="0038622F"/>
    <w:rsid w:val="003B4898"/>
    <w:rsid w:val="003C296C"/>
    <w:rsid w:val="003C39FC"/>
    <w:rsid w:val="003C5AD2"/>
    <w:rsid w:val="003D3141"/>
    <w:rsid w:val="003D6903"/>
    <w:rsid w:val="003E0A77"/>
    <w:rsid w:val="003E2A58"/>
    <w:rsid w:val="003E6DA2"/>
    <w:rsid w:val="003E7027"/>
    <w:rsid w:val="00401C0B"/>
    <w:rsid w:val="00410B5E"/>
    <w:rsid w:val="00442C2C"/>
    <w:rsid w:val="0045076C"/>
    <w:rsid w:val="00452C6E"/>
    <w:rsid w:val="00454CA1"/>
    <w:rsid w:val="00463D85"/>
    <w:rsid w:val="00472B24"/>
    <w:rsid w:val="00496C1B"/>
    <w:rsid w:val="004B28BE"/>
    <w:rsid w:val="004C174E"/>
    <w:rsid w:val="004C50F7"/>
    <w:rsid w:val="004C5C4D"/>
    <w:rsid w:val="004D0345"/>
    <w:rsid w:val="004D0886"/>
    <w:rsid w:val="004D62CF"/>
    <w:rsid w:val="004E13E5"/>
    <w:rsid w:val="004E24AE"/>
    <w:rsid w:val="004E5210"/>
    <w:rsid w:val="004F1ADE"/>
    <w:rsid w:val="005030EB"/>
    <w:rsid w:val="00514F7B"/>
    <w:rsid w:val="00517AD7"/>
    <w:rsid w:val="005243F3"/>
    <w:rsid w:val="00532533"/>
    <w:rsid w:val="0056559A"/>
    <w:rsid w:val="00580A83"/>
    <w:rsid w:val="0059484E"/>
    <w:rsid w:val="005C04F6"/>
    <w:rsid w:val="005C1E1F"/>
    <w:rsid w:val="005D0408"/>
    <w:rsid w:val="005D1F10"/>
    <w:rsid w:val="005E10C3"/>
    <w:rsid w:val="005E137F"/>
    <w:rsid w:val="005E27F7"/>
    <w:rsid w:val="005E71CB"/>
    <w:rsid w:val="005E7369"/>
    <w:rsid w:val="00600D15"/>
    <w:rsid w:val="006063FB"/>
    <w:rsid w:val="00611E9A"/>
    <w:rsid w:val="00614625"/>
    <w:rsid w:val="006231A3"/>
    <w:rsid w:val="006312F8"/>
    <w:rsid w:val="0063416C"/>
    <w:rsid w:val="00642096"/>
    <w:rsid w:val="00643921"/>
    <w:rsid w:val="006500C2"/>
    <w:rsid w:val="00660A84"/>
    <w:rsid w:val="006631CE"/>
    <w:rsid w:val="00664558"/>
    <w:rsid w:val="00666F4B"/>
    <w:rsid w:val="006676A6"/>
    <w:rsid w:val="00672B05"/>
    <w:rsid w:val="006745D2"/>
    <w:rsid w:val="00677664"/>
    <w:rsid w:val="00687894"/>
    <w:rsid w:val="00694BD5"/>
    <w:rsid w:val="006A6285"/>
    <w:rsid w:val="006A7BD3"/>
    <w:rsid w:val="006B241D"/>
    <w:rsid w:val="006C498D"/>
    <w:rsid w:val="006D0938"/>
    <w:rsid w:val="006D0E30"/>
    <w:rsid w:val="006F385F"/>
    <w:rsid w:val="006F5D7A"/>
    <w:rsid w:val="0071174F"/>
    <w:rsid w:val="007159B7"/>
    <w:rsid w:val="00720AC1"/>
    <w:rsid w:val="00721D4F"/>
    <w:rsid w:val="007341A7"/>
    <w:rsid w:val="00734522"/>
    <w:rsid w:val="007531CF"/>
    <w:rsid w:val="00762C5B"/>
    <w:rsid w:val="00763948"/>
    <w:rsid w:val="0078760D"/>
    <w:rsid w:val="007A09E3"/>
    <w:rsid w:val="007C741A"/>
    <w:rsid w:val="007D41A0"/>
    <w:rsid w:val="007D46D3"/>
    <w:rsid w:val="007D4730"/>
    <w:rsid w:val="007E313E"/>
    <w:rsid w:val="007E3F5B"/>
    <w:rsid w:val="007F2C26"/>
    <w:rsid w:val="007F53F5"/>
    <w:rsid w:val="00811CDA"/>
    <w:rsid w:val="00821EB9"/>
    <w:rsid w:val="00822FE7"/>
    <w:rsid w:val="0082416F"/>
    <w:rsid w:val="0083496D"/>
    <w:rsid w:val="008376F0"/>
    <w:rsid w:val="00843546"/>
    <w:rsid w:val="008450E0"/>
    <w:rsid w:val="00852B4F"/>
    <w:rsid w:val="00854B1A"/>
    <w:rsid w:val="0085717C"/>
    <w:rsid w:val="0085771A"/>
    <w:rsid w:val="008607FC"/>
    <w:rsid w:val="00863510"/>
    <w:rsid w:val="00877EA4"/>
    <w:rsid w:val="008816D5"/>
    <w:rsid w:val="00890D07"/>
    <w:rsid w:val="0089354E"/>
    <w:rsid w:val="008C12EB"/>
    <w:rsid w:val="008C6232"/>
    <w:rsid w:val="008C6E1C"/>
    <w:rsid w:val="008C7ACC"/>
    <w:rsid w:val="008D1F5E"/>
    <w:rsid w:val="008D5D02"/>
    <w:rsid w:val="008D60E8"/>
    <w:rsid w:val="008E1CC4"/>
    <w:rsid w:val="008E5AC7"/>
    <w:rsid w:val="008F3809"/>
    <w:rsid w:val="008F68FE"/>
    <w:rsid w:val="009022B6"/>
    <w:rsid w:val="009131DB"/>
    <w:rsid w:val="00922B67"/>
    <w:rsid w:val="009559EA"/>
    <w:rsid w:val="00984708"/>
    <w:rsid w:val="00987841"/>
    <w:rsid w:val="009965E6"/>
    <w:rsid w:val="009A2D98"/>
    <w:rsid w:val="009B7843"/>
    <w:rsid w:val="009C0C78"/>
    <w:rsid w:val="009D2926"/>
    <w:rsid w:val="009D56E7"/>
    <w:rsid w:val="00A11B1C"/>
    <w:rsid w:val="00A1357D"/>
    <w:rsid w:val="00A16342"/>
    <w:rsid w:val="00A205D3"/>
    <w:rsid w:val="00A20DDD"/>
    <w:rsid w:val="00A221FA"/>
    <w:rsid w:val="00A34BE5"/>
    <w:rsid w:val="00A35FA9"/>
    <w:rsid w:val="00A433A9"/>
    <w:rsid w:val="00A4552D"/>
    <w:rsid w:val="00A45B6D"/>
    <w:rsid w:val="00A52B8A"/>
    <w:rsid w:val="00A57F41"/>
    <w:rsid w:val="00A61515"/>
    <w:rsid w:val="00A62731"/>
    <w:rsid w:val="00A64F81"/>
    <w:rsid w:val="00A752CC"/>
    <w:rsid w:val="00A752E2"/>
    <w:rsid w:val="00A7752B"/>
    <w:rsid w:val="00A824AF"/>
    <w:rsid w:val="00A85C6C"/>
    <w:rsid w:val="00A94320"/>
    <w:rsid w:val="00AA0914"/>
    <w:rsid w:val="00AA09C9"/>
    <w:rsid w:val="00AA7E5E"/>
    <w:rsid w:val="00AC2F66"/>
    <w:rsid w:val="00AD7A8B"/>
    <w:rsid w:val="00AF0BE6"/>
    <w:rsid w:val="00AF10FD"/>
    <w:rsid w:val="00AF4990"/>
    <w:rsid w:val="00AF57D1"/>
    <w:rsid w:val="00B03843"/>
    <w:rsid w:val="00B15C65"/>
    <w:rsid w:val="00B42C95"/>
    <w:rsid w:val="00B45ECE"/>
    <w:rsid w:val="00B5122A"/>
    <w:rsid w:val="00B643CD"/>
    <w:rsid w:val="00B672E8"/>
    <w:rsid w:val="00B6773E"/>
    <w:rsid w:val="00B74FD1"/>
    <w:rsid w:val="00B81E67"/>
    <w:rsid w:val="00B87715"/>
    <w:rsid w:val="00B9162C"/>
    <w:rsid w:val="00B96479"/>
    <w:rsid w:val="00BA19A1"/>
    <w:rsid w:val="00BA4E38"/>
    <w:rsid w:val="00BB0A05"/>
    <w:rsid w:val="00BB4AFB"/>
    <w:rsid w:val="00BB7AB4"/>
    <w:rsid w:val="00BC11C4"/>
    <w:rsid w:val="00BC1788"/>
    <w:rsid w:val="00BC3C72"/>
    <w:rsid w:val="00BE7982"/>
    <w:rsid w:val="00C016A8"/>
    <w:rsid w:val="00C04864"/>
    <w:rsid w:val="00C43044"/>
    <w:rsid w:val="00C43AC9"/>
    <w:rsid w:val="00C55153"/>
    <w:rsid w:val="00C6648D"/>
    <w:rsid w:val="00C7545A"/>
    <w:rsid w:val="00C77C27"/>
    <w:rsid w:val="00C85058"/>
    <w:rsid w:val="00CA0E0A"/>
    <w:rsid w:val="00CA141F"/>
    <w:rsid w:val="00CA3370"/>
    <w:rsid w:val="00CB08B8"/>
    <w:rsid w:val="00CC65FF"/>
    <w:rsid w:val="00CC7321"/>
    <w:rsid w:val="00CD0ED5"/>
    <w:rsid w:val="00CD3AAE"/>
    <w:rsid w:val="00CD5628"/>
    <w:rsid w:val="00CE4171"/>
    <w:rsid w:val="00D107B6"/>
    <w:rsid w:val="00D117FD"/>
    <w:rsid w:val="00D16599"/>
    <w:rsid w:val="00D178DF"/>
    <w:rsid w:val="00D21995"/>
    <w:rsid w:val="00D3595D"/>
    <w:rsid w:val="00D36FBB"/>
    <w:rsid w:val="00D418F5"/>
    <w:rsid w:val="00D5323B"/>
    <w:rsid w:val="00D5372A"/>
    <w:rsid w:val="00D606C7"/>
    <w:rsid w:val="00D657B0"/>
    <w:rsid w:val="00D82C6B"/>
    <w:rsid w:val="00D9572B"/>
    <w:rsid w:val="00DA40D4"/>
    <w:rsid w:val="00DC0282"/>
    <w:rsid w:val="00DC31CB"/>
    <w:rsid w:val="00DC3A8A"/>
    <w:rsid w:val="00DC47A0"/>
    <w:rsid w:val="00DD24A7"/>
    <w:rsid w:val="00DE2D27"/>
    <w:rsid w:val="00DE5771"/>
    <w:rsid w:val="00DE5DD6"/>
    <w:rsid w:val="00DF2725"/>
    <w:rsid w:val="00DF2B9B"/>
    <w:rsid w:val="00E043B0"/>
    <w:rsid w:val="00E069D8"/>
    <w:rsid w:val="00E07959"/>
    <w:rsid w:val="00E156EA"/>
    <w:rsid w:val="00E37DBB"/>
    <w:rsid w:val="00E44A6A"/>
    <w:rsid w:val="00E46802"/>
    <w:rsid w:val="00E47821"/>
    <w:rsid w:val="00E5589B"/>
    <w:rsid w:val="00E66391"/>
    <w:rsid w:val="00E666D7"/>
    <w:rsid w:val="00E8113D"/>
    <w:rsid w:val="00E8579B"/>
    <w:rsid w:val="00E95DD0"/>
    <w:rsid w:val="00EA1FBB"/>
    <w:rsid w:val="00EB00C6"/>
    <w:rsid w:val="00EB50AD"/>
    <w:rsid w:val="00EB6C5E"/>
    <w:rsid w:val="00EB6FF6"/>
    <w:rsid w:val="00EC22A2"/>
    <w:rsid w:val="00ED57AC"/>
    <w:rsid w:val="00EE3C28"/>
    <w:rsid w:val="00EE40CA"/>
    <w:rsid w:val="00F10005"/>
    <w:rsid w:val="00F110B6"/>
    <w:rsid w:val="00F16129"/>
    <w:rsid w:val="00F16416"/>
    <w:rsid w:val="00F24B34"/>
    <w:rsid w:val="00F25DDB"/>
    <w:rsid w:val="00F34618"/>
    <w:rsid w:val="00F34906"/>
    <w:rsid w:val="00F37888"/>
    <w:rsid w:val="00F50A2B"/>
    <w:rsid w:val="00F5515A"/>
    <w:rsid w:val="00F65F2F"/>
    <w:rsid w:val="00F67788"/>
    <w:rsid w:val="00F83945"/>
    <w:rsid w:val="00F86FB1"/>
    <w:rsid w:val="00F913ED"/>
    <w:rsid w:val="00F95B83"/>
    <w:rsid w:val="00F96416"/>
    <w:rsid w:val="00F97692"/>
    <w:rsid w:val="00FA0220"/>
    <w:rsid w:val="00FA0A16"/>
    <w:rsid w:val="00FA1EC7"/>
    <w:rsid w:val="00FA5E32"/>
    <w:rsid w:val="00FA7E99"/>
    <w:rsid w:val="00FE459C"/>
    <w:rsid w:val="00FE6321"/>
    <w:rsid w:val="00FF0574"/>
    <w:rsid w:val="00FF74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B4497"/>
  <w15:docId w15:val="{8AA3D57D-0D11-426E-B86B-447D0498F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25"/>
      <w:ind w:left="104"/>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11B1C"/>
    <w:pPr>
      <w:tabs>
        <w:tab w:val="center" w:pos="4680"/>
        <w:tab w:val="right" w:pos="9360"/>
      </w:tabs>
    </w:pPr>
  </w:style>
  <w:style w:type="character" w:customStyle="1" w:styleId="HeaderChar">
    <w:name w:val="Header Char"/>
    <w:basedOn w:val="DefaultParagraphFont"/>
    <w:link w:val="Header"/>
    <w:uiPriority w:val="99"/>
    <w:rsid w:val="00A11B1C"/>
    <w:rPr>
      <w:rFonts w:ascii="Arial" w:eastAsia="Arial" w:hAnsi="Arial" w:cs="Arial"/>
    </w:rPr>
  </w:style>
  <w:style w:type="paragraph" w:styleId="Footer">
    <w:name w:val="footer"/>
    <w:basedOn w:val="Normal"/>
    <w:link w:val="FooterChar"/>
    <w:uiPriority w:val="99"/>
    <w:unhideWhenUsed/>
    <w:rsid w:val="00A11B1C"/>
    <w:pPr>
      <w:tabs>
        <w:tab w:val="center" w:pos="4680"/>
        <w:tab w:val="right" w:pos="9360"/>
      </w:tabs>
    </w:pPr>
  </w:style>
  <w:style w:type="character" w:customStyle="1" w:styleId="FooterChar">
    <w:name w:val="Footer Char"/>
    <w:basedOn w:val="DefaultParagraphFont"/>
    <w:link w:val="Footer"/>
    <w:uiPriority w:val="99"/>
    <w:rsid w:val="00A11B1C"/>
    <w:rPr>
      <w:rFonts w:ascii="Arial" w:eastAsia="Arial" w:hAnsi="Arial" w:cs="Arial"/>
    </w:rPr>
  </w:style>
  <w:style w:type="character" w:styleId="Hyperlink">
    <w:name w:val="Hyperlink"/>
    <w:basedOn w:val="DefaultParagraphFont"/>
    <w:unhideWhenUsed/>
    <w:rsid w:val="00F95B83"/>
    <w:rPr>
      <w:color w:val="F0306C" w:themeColor="hyperlink"/>
      <w:u w:val="single"/>
    </w:rPr>
  </w:style>
  <w:style w:type="character" w:styleId="UnresolvedMention">
    <w:name w:val="Unresolved Mention"/>
    <w:basedOn w:val="DefaultParagraphFont"/>
    <w:uiPriority w:val="99"/>
    <w:semiHidden/>
    <w:unhideWhenUsed/>
    <w:rsid w:val="00F95B83"/>
    <w:rPr>
      <w:color w:val="605E5C"/>
      <w:shd w:val="clear" w:color="auto" w:fill="E1DFDD"/>
    </w:rPr>
  </w:style>
  <w:style w:type="character" w:styleId="FollowedHyperlink">
    <w:name w:val="FollowedHyperlink"/>
    <w:basedOn w:val="DefaultParagraphFont"/>
    <w:uiPriority w:val="99"/>
    <w:semiHidden/>
    <w:unhideWhenUsed/>
    <w:rsid w:val="00E8579B"/>
    <w:rPr>
      <w:color w:val="800080" w:themeColor="followedHyperlink"/>
      <w:u w:val="single"/>
    </w:rPr>
  </w:style>
  <w:style w:type="paragraph" w:styleId="NoSpacing">
    <w:name w:val="No Spacing"/>
    <w:uiPriority w:val="1"/>
    <w:qFormat/>
    <w:rsid w:val="004E5210"/>
    <w:pPr>
      <w:widowControl/>
      <w:autoSpaceDE/>
      <w:autoSpaceDN/>
    </w:pPr>
    <w:rPr>
      <w:rFonts w:ascii="Times New Roman" w:eastAsia="MS Mincho" w:hAnsi="Times New Roman" w:cs="Times New Roman"/>
      <w:sz w:val="24"/>
      <w:szCs w:val="24"/>
      <w:lang w:val="en-AU"/>
    </w:rPr>
  </w:style>
  <w:style w:type="paragraph" w:styleId="NormalWeb">
    <w:name w:val="Normal (Web)"/>
    <w:basedOn w:val="Normal"/>
    <w:uiPriority w:val="99"/>
    <w:rsid w:val="004E5210"/>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52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2E2"/>
    <w:rPr>
      <w:rFonts w:ascii="Segoe UI" w:eastAsia="Arial" w:hAnsi="Segoe UI" w:cs="Segoe UI"/>
      <w:sz w:val="18"/>
      <w:szCs w:val="18"/>
    </w:rPr>
  </w:style>
  <w:style w:type="character" w:styleId="CommentReference">
    <w:name w:val="annotation reference"/>
    <w:basedOn w:val="DefaultParagraphFont"/>
    <w:uiPriority w:val="99"/>
    <w:semiHidden/>
    <w:unhideWhenUsed/>
    <w:rsid w:val="00AA7E5E"/>
    <w:rPr>
      <w:sz w:val="16"/>
      <w:szCs w:val="16"/>
    </w:rPr>
  </w:style>
  <w:style w:type="paragraph" w:styleId="CommentText">
    <w:name w:val="annotation text"/>
    <w:basedOn w:val="Normal"/>
    <w:link w:val="CommentTextChar"/>
    <w:uiPriority w:val="99"/>
    <w:semiHidden/>
    <w:unhideWhenUsed/>
    <w:rsid w:val="00AA7E5E"/>
    <w:rPr>
      <w:sz w:val="20"/>
      <w:szCs w:val="20"/>
    </w:rPr>
  </w:style>
  <w:style w:type="character" w:customStyle="1" w:styleId="CommentTextChar">
    <w:name w:val="Comment Text Char"/>
    <w:basedOn w:val="DefaultParagraphFont"/>
    <w:link w:val="CommentText"/>
    <w:uiPriority w:val="99"/>
    <w:semiHidden/>
    <w:rsid w:val="00AA7E5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A7E5E"/>
    <w:rPr>
      <w:b/>
      <w:bCs/>
    </w:rPr>
  </w:style>
  <w:style w:type="character" w:customStyle="1" w:styleId="CommentSubjectChar">
    <w:name w:val="Comment Subject Char"/>
    <w:basedOn w:val="CommentTextChar"/>
    <w:link w:val="CommentSubject"/>
    <w:uiPriority w:val="99"/>
    <w:semiHidden/>
    <w:rsid w:val="00AA7E5E"/>
    <w:rPr>
      <w:rFonts w:ascii="Arial" w:eastAsia="Arial" w:hAnsi="Arial" w:cs="Arial"/>
      <w:b/>
      <w:bCs/>
      <w:sz w:val="20"/>
      <w:szCs w:val="20"/>
    </w:rPr>
  </w:style>
  <w:style w:type="paragraph" w:styleId="FootnoteText">
    <w:name w:val="footnote text"/>
    <w:basedOn w:val="Normal"/>
    <w:link w:val="FootnoteTextChar"/>
    <w:uiPriority w:val="99"/>
    <w:semiHidden/>
    <w:unhideWhenUsed/>
    <w:rsid w:val="002B08BB"/>
    <w:pPr>
      <w:widowControl/>
      <w:autoSpaceDE/>
      <w:autoSpaceDN/>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2B08B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B08BB"/>
    <w:rPr>
      <w:vertAlign w:val="superscript"/>
    </w:rPr>
  </w:style>
  <w:style w:type="character" w:customStyle="1" w:styleId="BodyTextChar">
    <w:name w:val="Body Text Char"/>
    <w:basedOn w:val="DefaultParagraphFont"/>
    <w:link w:val="BodyText"/>
    <w:uiPriority w:val="1"/>
    <w:rsid w:val="00694BD5"/>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92944">
      <w:bodyDiv w:val="1"/>
      <w:marLeft w:val="0"/>
      <w:marRight w:val="0"/>
      <w:marTop w:val="0"/>
      <w:marBottom w:val="0"/>
      <w:divBdr>
        <w:top w:val="none" w:sz="0" w:space="0" w:color="auto"/>
        <w:left w:val="none" w:sz="0" w:space="0" w:color="auto"/>
        <w:bottom w:val="none" w:sz="0" w:space="0" w:color="auto"/>
        <w:right w:val="none" w:sz="0" w:space="0" w:color="auto"/>
      </w:divBdr>
    </w:div>
    <w:div w:id="596595006">
      <w:bodyDiv w:val="1"/>
      <w:marLeft w:val="0"/>
      <w:marRight w:val="0"/>
      <w:marTop w:val="0"/>
      <w:marBottom w:val="0"/>
      <w:divBdr>
        <w:top w:val="none" w:sz="0" w:space="0" w:color="auto"/>
        <w:left w:val="none" w:sz="0" w:space="0" w:color="auto"/>
        <w:bottom w:val="none" w:sz="0" w:space="0" w:color="auto"/>
        <w:right w:val="none" w:sz="0" w:space="0" w:color="auto"/>
      </w:divBdr>
      <w:divsChild>
        <w:div w:id="1548371480">
          <w:marLeft w:val="0"/>
          <w:marRight w:val="0"/>
          <w:marTop w:val="0"/>
          <w:marBottom w:val="0"/>
          <w:divBdr>
            <w:top w:val="none" w:sz="0" w:space="0" w:color="auto"/>
            <w:left w:val="none" w:sz="0" w:space="0" w:color="auto"/>
            <w:bottom w:val="none" w:sz="0" w:space="0" w:color="auto"/>
            <w:right w:val="none" w:sz="0" w:space="0" w:color="auto"/>
          </w:divBdr>
        </w:div>
      </w:divsChild>
    </w:div>
    <w:div w:id="716709316">
      <w:bodyDiv w:val="1"/>
      <w:marLeft w:val="0"/>
      <w:marRight w:val="0"/>
      <w:marTop w:val="0"/>
      <w:marBottom w:val="0"/>
      <w:divBdr>
        <w:top w:val="none" w:sz="0" w:space="0" w:color="auto"/>
        <w:left w:val="none" w:sz="0" w:space="0" w:color="auto"/>
        <w:bottom w:val="none" w:sz="0" w:space="0" w:color="auto"/>
        <w:right w:val="none" w:sz="0" w:space="0" w:color="auto"/>
      </w:divBdr>
    </w:div>
    <w:div w:id="894966862">
      <w:bodyDiv w:val="1"/>
      <w:marLeft w:val="0"/>
      <w:marRight w:val="0"/>
      <w:marTop w:val="0"/>
      <w:marBottom w:val="0"/>
      <w:divBdr>
        <w:top w:val="none" w:sz="0" w:space="0" w:color="auto"/>
        <w:left w:val="none" w:sz="0" w:space="0" w:color="auto"/>
        <w:bottom w:val="none" w:sz="0" w:space="0" w:color="auto"/>
        <w:right w:val="none" w:sz="0" w:space="0" w:color="auto"/>
      </w:divBdr>
    </w:div>
    <w:div w:id="1137800779">
      <w:bodyDiv w:val="1"/>
      <w:marLeft w:val="0"/>
      <w:marRight w:val="0"/>
      <w:marTop w:val="0"/>
      <w:marBottom w:val="0"/>
      <w:divBdr>
        <w:top w:val="none" w:sz="0" w:space="0" w:color="auto"/>
        <w:left w:val="none" w:sz="0" w:space="0" w:color="auto"/>
        <w:bottom w:val="none" w:sz="0" w:space="0" w:color="auto"/>
        <w:right w:val="none" w:sz="0" w:space="0" w:color="auto"/>
      </w:divBdr>
      <w:divsChild>
        <w:div w:id="1766874774">
          <w:marLeft w:val="0"/>
          <w:marRight w:val="0"/>
          <w:marTop w:val="0"/>
          <w:marBottom w:val="0"/>
          <w:divBdr>
            <w:top w:val="none" w:sz="0" w:space="0" w:color="auto"/>
            <w:left w:val="none" w:sz="0" w:space="0" w:color="auto"/>
            <w:bottom w:val="none" w:sz="0" w:space="0" w:color="auto"/>
            <w:right w:val="none" w:sz="0" w:space="0" w:color="auto"/>
          </w:divBdr>
        </w:div>
      </w:divsChild>
    </w:div>
    <w:div w:id="1155150348">
      <w:bodyDiv w:val="1"/>
      <w:marLeft w:val="0"/>
      <w:marRight w:val="0"/>
      <w:marTop w:val="0"/>
      <w:marBottom w:val="0"/>
      <w:divBdr>
        <w:top w:val="none" w:sz="0" w:space="0" w:color="auto"/>
        <w:left w:val="none" w:sz="0" w:space="0" w:color="auto"/>
        <w:bottom w:val="none" w:sz="0" w:space="0" w:color="auto"/>
        <w:right w:val="none" w:sz="0" w:space="0" w:color="auto"/>
      </w:divBdr>
      <w:divsChild>
        <w:div w:id="1534077612">
          <w:marLeft w:val="0"/>
          <w:marRight w:val="0"/>
          <w:marTop w:val="0"/>
          <w:marBottom w:val="0"/>
          <w:divBdr>
            <w:top w:val="none" w:sz="0" w:space="0" w:color="auto"/>
            <w:left w:val="none" w:sz="0" w:space="0" w:color="auto"/>
            <w:bottom w:val="none" w:sz="0" w:space="0" w:color="auto"/>
            <w:right w:val="none" w:sz="0" w:space="0" w:color="auto"/>
          </w:divBdr>
        </w:div>
        <w:div w:id="735783859">
          <w:marLeft w:val="0"/>
          <w:marRight w:val="0"/>
          <w:marTop w:val="0"/>
          <w:marBottom w:val="0"/>
          <w:divBdr>
            <w:top w:val="none" w:sz="0" w:space="0" w:color="auto"/>
            <w:left w:val="none" w:sz="0" w:space="0" w:color="auto"/>
            <w:bottom w:val="none" w:sz="0" w:space="0" w:color="auto"/>
            <w:right w:val="none" w:sz="0" w:space="0" w:color="auto"/>
          </w:divBdr>
        </w:div>
        <w:div w:id="251010024">
          <w:marLeft w:val="0"/>
          <w:marRight w:val="0"/>
          <w:marTop w:val="0"/>
          <w:marBottom w:val="0"/>
          <w:divBdr>
            <w:top w:val="none" w:sz="0" w:space="0" w:color="auto"/>
            <w:left w:val="none" w:sz="0" w:space="0" w:color="auto"/>
            <w:bottom w:val="none" w:sz="0" w:space="0" w:color="auto"/>
            <w:right w:val="none" w:sz="0" w:space="0" w:color="auto"/>
          </w:divBdr>
        </w:div>
        <w:div w:id="826365287">
          <w:marLeft w:val="0"/>
          <w:marRight w:val="0"/>
          <w:marTop w:val="0"/>
          <w:marBottom w:val="0"/>
          <w:divBdr>
            <w:top w:val="none" w:sz="0" w:space="0" w:color="auto"/>
            <w:left w:val="none" w:sz="0" w:space="0" w:color="auto"/>
            <w:bottom w:val="none" w:sz="0" w:space="0" w:color="auto"/>
            <w:right w:val="none" w:sz="0" w:space="0" w:color="auto"/>
          </w:divBdr>
        </w:div>
        <w:div w:id="1912734677">
          <w:marLeft w:val="0"/>
          <w:marRight w:val="0"/>
          <w:marTop w:val="0"/>
          <w:marBottom w:val="0"/>
          <w:divBdr>
            <w:top w:val="none" w:sz="0" w:space="0" w:color="auto"/>
            <w:left w:val="none" w:sz="0" w:space="0" w:color="auto"/>
            <w:bottom w:val="none" w:sz="0" w:space="0" w:color="auto"/>
            <w:right w:val="none" w:sz="0" w:space="0" w:color="auto"/>
          </w:divBdr>
        </w:div>
        <w:div w:id="200750483">
          <w:marLeft w:val="0"/>
          <w:marRight w:val="0"/>
          <w:marTop w:val="0"/>
          <w:marBottom w:val="0"/>
          <w:divBdr>
            <w:top w:val="none" w:sz="0" w:space="0" w:color="auto"/>
            <w:left w:val="none" w:sz="0" w:space="0" w:color="auto"/>
            <w:bottom w:val="none" w:sz="0" w:space="0" w:color="auto"/>
            <w:right w:val="none" w:sz="0" w:space="0" w:color="auto"/>
          </w:divBdr>
        </w:div>
        <w:div w:id="1325817644">
          <w:marLeft w:val="0"/>
          <w:marRight w:val="0"/>
          <w:marTop w:val="0"/>
          <w:marBottom w:val="0"/>
          <w:divBdr>
            <w:top w:val="none" w:sz="0" w:space="0" w:color="auto"/>
            <w:left w:val="none" w:sz="0" w:space="0" w:color="auto"/>
            <w:bottom w:val="none" w:sz="0" w:space="0" w:color="auto"/>
            <w:right w:val="none" w:sz="0" w:space="0" w:color="auto"/>
          </w:divBdr>
        </w:div>
      </w:divsChild>
    </w:div>
    <w:div w:id="1428884113">
      <w:bodyDiv w:val="1"/>
      <w:marLeft w:val="0"/>
      <w:marRight w:val="0"/>
      <w:marTop w:val="0"/>
      <w:marBottom w:val="0"/>
      <w:divBdr>
        <w:top w:val="none" w:sz="0" w:space="0" w:color="auto"/>
        <w:left w:val="none" w:sz="0" w:space="0" w:color="auto"/>
        <w:bottom w:val="none" w:sz="0" w:space="0" w:color="auto"/>
        <w:right w:val="none" w:sz="0" w:space="0" w:color="auto"/>
      </w:divBdr>
      <w:divsChild>
        <w:div w:id="711854064">
          <w:marLeft w:val="403"/>
          <w:marRight w:val="0"/>
          <w:marTop w:val="77"/>
          <w:marBottom w:val="0"/>
          <w:divBdr>
            <w:top w:val="none" w:sz="0" w:space="0" w:color="auto"/>
            <w:left w:val="none" w:sz="0" w:space="0" w:color="auto"/>
            <w:bottom w:val="none" w:sz="0" w:space="0" w:color="auto"/>
            <w:right w:val="none" w:sz="0" w:space="0" w:color="auto"/>
          </w:divBdr>
        </w:div>
        <w:div w:id="736362979">
          <w:marLeft w:val="403"/>
          <w:marRight w:val="0"/>
          <w:marTop w:val="77"/>
          <w:marBottom w:val="0"/>
          <w:divBdr>
            <w:top w:val="none" w:sz="0" w:space="0" w:color="auto"/>
            <w:left w:val="none" w:sz="0" w:space="0" w:color="auto"/>
            <w:bottom w:val="none" w:sz="0" w:space="0" w:color="auto"/>
            <w:right w:val="none" w:sz="0" w:space="0" w:color="auto"/>
          </w:divBdr>
        </w:div>
        <w:div w:id="1604141525">
          <w:marLeft w:val="403"/>
          <w:marRight w:val="0"/>
          <w:marTop w:val="77"/>
          <w:marBottom w:val="0"/>
          <w:divBdr>
            <w:top w:val="none" w:sz="0" w:space="0" w:color="auto"/>
            <w:left w:val="none" w:sz="0" w:space="0" w:color="auto"/>
            <w:bottom w:val="none" w:sz="0" w:space="0" w:color="auto"/>
            <w:right w:val="none" w:sz="0" w:space="0" w:color="auto"/>
          </w:divBdr>
        </w:div>
        <w:div w:id="497968319">
          <w:marLeft w:val="403"/>
          <w:marRight w:val="0"/>
          <w:marTop w:val="77"/>
          <w:marBottom w:val="0"/>
          <w:divBdr>
            <w:top w:val="none" w:sz="0" w:space="0" w:color="auto"/>
            <w:left w:val="none" w:sz="0" w:space="0" w:color="auto"/>
            <w:bottom w:val="none" w:sz="0" w:space="0" w:color="auto"/>
            <w:right w:val="none" w:sz="0" w:space="0" w:color="auto"/>
          </w:divBdr>
        </w:div>
        <w:div w:id="660429017">
          <w:marLeft w:val="403"/>
          <w:marRight w:val="0"/>
          <w:marTop w:val="77"/>
          <w:marBottom w:val="0"/>
          <w:divBdr>
            <w:top w:val="none" w:sz="0" w:space="0" w:color="auto"/>
            <w:left w:val="none" w:sz="0" w:space="0" w:color="auto"/>
            <w:bottom w:val="none" w:sz="0" w:space="0" w:color="auto"/>
            <w:right w:val="none" w:sz="0" w:space="0" w:color="auto"/>
          </w:divBdr>
        </w:div>
        <w:div w:id="1206722367">
          <w:marLeft w:val="403"/>
          <w:marRight w:val="0"/>
          <w:marTop w:val="77"/>
          <w:marBottom w:val="0"/>
          <w:divBdr>
            <w:top w:val="none" w:sz="0" w:space="0" w:color="auto"/>
            <w:left w:val="none" w:sz="0" w:space="0" w:color="auto"/>
            <w:bottom w:val="none" w:sz="0" w:space="0" w:color="auto"/>
            <w:right w:val="none" w:sz="0" w:space="0" w:color="auto"/>
          </w:divBdr>
        </w:div>
      </w:divsChild>
    </w:div>
    <w:div w:id="1530221854">
      <w:bodyDiv w:val="1"/>
      <w:marLeft w:val="0"/>
      <w:marRight w:val="0"/>
      <w:marTop w:val="0"/>
      <w:marBottom w:val="0"/>
      <w:divBdr>
        <w:top w:val="none" w:sz="0" w:space="0" w:color="auto"/>
        <w:left w:val="none" w:sz="0" w:space="0" w:color="auto"/>
        <w:bottom w:val="none" w:sz="0" w:space="0" w:color="auto"/>
        <w:right w:val="none" w:sz="0" w:space="0" w:color="auto"/>
      </w:divBdr>
      <w:divsChild>
        <w:div w:id="1764256829">
          <w:marLeft w:val="403"/>
          <w:marRight w:val="0"/>
          <w:marTop w:val="77"/>
          <w:marBottom w:val="0"/>
          <w:divBdr>
            <w:top w:val="none" w:sz="0" w:space="0" w:color="auto"/>
            <w:left w:val="none" w:sz="0" w:space="0" w:color="auto"/>
            <w:bottom w:val="none" w:sz="0" w:space="0" w:color="auto"/>
            <w:right w:val="none" w:sz="0" w:space="0" w:color="auto"/>
          </w:divBdr>
        </w:div>
        <w:div w:id="2020765165">
          <w:marLeft w:val="403"/>
          <w:marRight w:val="0"/>
          <w:marTop w:val="77"/>
          <w:marBottom w:val="0"/>
          <w:divBdr>
            <w:top w:val="none" w:sz="0" w:space="0" w:color="auto"/>
            <w:left w:val="none" w:sz="0" w:space="0" w:color="auto"/>
            <w:bottom w:val="none" w:sz="0" w:space="0" w:color="auto"/>
            <w:right w:val="none" w:sz="0" w:space="0" w:color="auto"/>
          </w:divBdr>
        </w:div>
        <w:div w:id="1182086639">
          <w:marLeft w:val="403"/>
          <w:marRight w:val="0"/>
          <w:marTop w:val="77"/>
          <w:marBottom w:val="0"/>
          <w:divBdr>
            <w:top w:val="none" w:sz="0" w:space="0" w:color="auto"/>
            <w:left w:val="none" w:sz="0" w:space="0" w:color="auto"/>
            <w:bottom w:val="none" w:sz="0" w:space="0" w:color="auto"/>
            <w:right w:val="none" w:sz="0" w:space="0" w:color="auto"/>
          </w:divBdr>
        </w:div>
        <w:div w:id="1219437109">
          <w:marLeft w:val="403"/>
          <w:marRight w:val="0"/>
          <w:marTop w:val="77"/>
          <w:marBottom w:val="0"/>
          <w:divBdr>
            <w:top w:val="none" w:sz="0" w:space="0" w:color="auto"/>
            <w:left w:val="none" w:sz="0" w:space="0" w:color="auto"/>
            <w:bottom w:val="none" w:sz="0" w:space="0" w:color="auto"/>
            <w:right w:val="none" w:sz="0" w:space="0" w:color="auto"/>
          </w:divBdr>
        </w:div>
        <w:div w:id="513691136">
          <w:marLeft w:val="403"/>
          <w:marRight w:val="0"/>
          <w:marTop w:val="77"/>
          <w:marBottom w:val="0"/>
          <w:divBdr>
            <w:top w:val="none" w:sz="0" w:space="0" w:color="auto"/>
            <w:left w:val="none" w:sz="0" w:space="0" w:color="auto"/>
            <w:bottom w:val="none" w:sz="0" w:space="0" w:color="auto"/>
            <w:right w:val="none" w:sz="0" w:space="0" w:color="auto"/>
          </w:divBdr>
        </w:div>
        <w:div w:id="393086889">
          <w:marLeft w:val="403"/>
          <w:marRight w:val="0"/>
          <w:marTop w:val="77"/>
          <w:marBottom w:val="0"/>
          <w:divBdr>
            <w:top w:val="none" w:sz="0" w:space="0" w:color="auto"/>
            <w:left w:val="none" w:sz="0" w:space="0" w:color="auto"/>
            <w:bottom w:val="none" w:sz="0" w:space="0" w:color="auto"/>
            <w:right w:val="none" w:sz="0" w:space="0" w:color="auto"/>
          </w:divBdr>
        </w:div>
      </w:divsChild>
    </w:div>
    <w:div w:id="1751391987">
      <w:bodyDiv w:val="1"/>
      <w:marLeft w:val="0"/>
      <w:marRight w:val="0"/>
      <w:marTop w:val="0"/>
      <w:marBottom w:val="0"/>
      <w:divBdr>
        <w:top w:val="none" w:sz="0" w:space="0" w:color="auto"/>
        <w:left w:val="none" w:sz="0" w:space="0" w:color="auto"/>
        <w:bottom w:val="none" w:sz="0" w:space="0" w:color="auto"/>
        <w:right w:val="none" w:sz="0" w:space="0" w:color="auto"/>
      </w:divBdr>
      <w:divsChild>
        <w:div w:id="266279350">
          <w:marLeft w:val="0"/>
          <w:marRight w:val="0"/>
          <w:marTop w:val="0"/>
          <w:marBottom w:val="0"/>
          <w:divBdr>
            <w:top w:val="none" w:sz="0" w:space="0" w:color="auto"/>
            <w:left w:val="none" w:sz="0" w:space="0" w:color="auto"/>
            <w:bottom w:val="none" w:sz="0" w:space="0" w:color="auto"/>
            <w:right w:val="none" w:sz="0" w:space="0" w:color="auto"/>
          </w:divBdr>
        </w:div>
        <w:div w:id="1541087027">
          <w:marLeft w:val="0"/>
          <w:marRight w:val="0"/>
          <w:marTop w:val="0"/>
          <w:marBottom w:val="0"/>
          <w:divBdr>
            <w:top w:val="none" w:sz="0" w:space="0" w:color="auto"/>
            <w:left w:val="none" w:sz="0" w:space="0" w:color="auto"/>
            <w:bottom w:val="none" w:sz="0" w:space="0" w:color="auto"/>
            <w:right w:val="none" w:sz="0" w:space="0" w:color="auto"/>
          </w:divBdr>
        </w:div>
        <w:div w:id="5333456">
          <w:marLeft w:val="0"/>
          <w:marRight w:val="0"/>
          <w:marTop w:val="0"/>
          <w:marBottom w:val="0"/>
          <w:divBdr>
            <w:top w:val="none" w:sz="0" w:space="0" w:color="auto"/>
            <w:left w:val="none" w:sz="0" w:space="0" w:color="auto"/>
            <w:bottom w:val="none" w:sz="0" w:space="0" w:color="auto"/>
            <w:right w:val="none" w:sz="0" w:space="0" w:color="auto"/>
          </w:divBdr>
        </w:div>
        <w:div w:id="542863357">
          <w:marLeft w:val="0"/>
          <w:marRight w:val="0"/>
          <w:marTop w:val="0"/>
          <w:marBottom w:val="0"/>
          <w:divBdr>
            <w:top w:val="none" w:sz="0" w:space="0" w:color="auto"/>
            <w:left w:val="none" w:sz="0" w:space="0" w:color="auto"/>
            <w:bottom w:val="none" w:sz="0" w:space="0" w:color="auto"/>
            <w:right w:val="none" w:sz="0" w:space="0" w:color="auto"/>
          </w:divBdr>
        </w:div>
        <w:div w:id="1550452622">
          <w:marLeft w:val="0"/>
          <w:marRight w:val="0"/>
          <w:marTop w:val="0"/>
          <w:marBottom w:val="0"/>
          <w:divBdr>
            <w:top w:val="none" w:sz="0" w:space="0" w:color="auto"/>
            <w:left w:val="none" w:sz="0" w:space="0" w:color="auto"/>
            <w:bottom w:val="none" w:sz="0" w:space="0" w:color="auto"/>
            <w:right w:val="none" w:sz="0" w:space="0" w:color="auto"/>
          </w:divBdr>
        </w:div>
        <w:div w:id="1519931337">
          <w:marLeft w:val="0"/>
          <w:marRight w:val="0"/>
          <w:marTop w:val="0"/>
          <w:marBottom w:val="0"/>
          <w:divBdr>
            <w:top w:val="none" w:sz="0" w:space="0" w:color="auto"/>
            <w:left w:val="none" w:sz="0" w:space="0" w:color="auto"/>
            <w:bottom w:val="none" w:sz="0" w:space="0" w:color="auto"/>
            <w:right w:val="none" w:sz="0" w:space="0" w:color="auto"/>
          </w:divBdr>
        </w:div>
        <w:div w:id="1692996071">
          <w:marLeft w:val="0"/>
          <w:marRight w:val="0"/>
          <w:marTop w:val="0"/>
          <w:marBottom w:val="0"/>
          <w:divBdr>
            <w:top w:val="none" w:sz="0" w:space="0" w:color="auto"/>
            <w:left w:val="none" w:sz="0" w:space="0" w:color="auto"/>
            <w:bottom w:val="none" w:sz="0" w:space="0" w:color="auto"/>
            <w:right w:val="none" w:sz="0" w:space="0" w:color="auto"/>
          </w:divBdr>
        </w:div>
      </w:divsChild>
    </w:div>
    <w:div w:id="1944261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cs.com/" TargetMode="External"/><Relationship Id="rId13" Type="http://schemas.openxmlformats.org/officeDocument/2006/relationships/hyperlink" Target="mailto:tia.thomas@tcs.com" TargetMode="External"/><Relationship Id="rId18" Type="http://schemas.openxmlformats.org/officeDocument/2006/relationships/hyperlink" Target="mailto:martin.karich@tcs.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Joost.galema@tcs.com" TargetMode="External"/><Relationship Id="rId17" Type="http://schemas.openxmlformats.org/officeDocument/2006/relationships/hyperlink" Target="mailto:douglas.foote@tcs.com" TargetMode="External"/><Relationship Id="rId2" Type="http://schemas.openxmlformats.org/officeDocument/2006/relationships/numbering" Target="numbering.xml"/><Relationship Id="rId16" Type="http://schemas.openxmlformats.org/officeDocument/2006/relationships/hyperlink" Target="mailto:s.hasneen@tcs.com" TargetMode="External"/><Relationship Id="rId20" Type="http://schemas.openxmlformats.org/officeDocument/2006/relationships/hyperlink" Target="mailto:william.thomas@tc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lly.ryan@tc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xena.kritika@tcs.com" TargetMode="External"/><Relationship Id="rId23" Type="http://schemas.openxmlformats.org/officeDocument/2006/relationships/fontTable" Target="fontTable.xml"/><Relationship Id="rId10" Type="http://schemas.openxmlformats.org/officeDocument/2006/relationships/hyperlink" Target="https://twitter.com/tcs_news?lang=en" TargetMode="External"/><Relationship Id="rId19" Type="http://schemas.openxmlformats.org/officeDocument/2006/relationships/hyperlink" Target="mailto:peter.devery@tcs.com" TargetMode="External"/><Relationship Id="rId4" Type="http://schemas.openxmlformats.org/officeDocument/2006/relationships/settings" Target="settings.xml"/><Relationship Id="rId9" Type="http://schemas.openxmlformats.org/officeDocument/2006/relationships/hyperlink" Target="https://twitter.com/TCS_News?ref_src=twsrc%5Egoogle%7Ctwcamp%5Eserp%7Ctwgr%5Eauthor" TargetMode="External"/><Relationship Id="rId14" Type="http://schemas.openxmlformats.org/officeDocument/2006/relationships/hyperlink" Target="mailto:mattias.afgeijerstam@tcs.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F0306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B0A58-6EE4-4B33-A48F-C08A140DA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Press Release.cdr</vt:lpstr>
    </vt:vector>
  </TitlesOfParts>
  <Company>TCS</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Release.cdr</dc:title>
  <dc:creator>Meirah Bhastekar</dc:creator>
  <cp:lastModifiedBy>Vanshika Sood</cp:lastModifiedBy>
  <cp:revision>8</cp:revision>
  <dcterms:created xsi:type="dcterms:W3CDTF">2021-06-23T07:45:00Z</dcterms:created>
  <dcterms:modified xsi:type="dcterms:W3CDTF">2021-06-29T05:28:00Z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2021-03-29T00:00:00Z</vt:filetime>
  </property>
  <property fmtid="{D5CDD505-2E9C-101B-9397-08002B2CF9AE}" pid="3" name="Creator">
    <vt:lpwstr>CorelDRAW X7</vt:lpwstr>
  </property>
  <property fmtid="{D5CDD505-2E9C-101B-9397-08002B2CF9AE}" pid="4" name="LastSaved">
    <vt:filetime>2021-03-29T00:00:00Z</vt:filetime>
  </property>
</Properties>
</file>